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auto"/>
          <w:sz w:val="40"/>
          <w:szCs w:val="40"/>
          <w:highlight w:val="none"/>
        </w:rPr>
      </w:pPr>
      <w:bookmarkStart w:id="0" w:name="_Toc578"/>
      <w:bookmarkStart w:id="1" w:name="_Toc5725"/>
      <w:bookmarkStart w:id="2" w:name="_Toc6478"/>
      <w:r>
        <w:rPr>
          <w:rFonts w:hint="eastAsia"/>
          <w:b/>
          <w:bCs/>
          <w:color w:val="auto"/>
          <w:sz w:val="40"/>
          <w:szCs w:val="40"/>
          <w:highlight w:val="none"/>
        </w:rPr>
        <w:t xml:space="preserve">项目编号：N5101012022000188 </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40"/>
          <w:szCs w:val="40"/>
          <w:highlight w:val="none"/>
          <w:lang w:val="en-US" w:eastAsia="zh-CN"/>
        </w:rPr>
      </w:pPr>
      <w:r>
        <w:rPr>
          <w:rFonts w:hint="eastAsia"/>
          <w:b/>
          <w:bCs/>
          <w:color w:val="auto"/>
          <w:sz w:val="40"/>
          <w:szCs w:val="40"/>
          <w:highlight w:val="none"/>
          <w:lang w:val="en-US" w:eastAsia="zh-CN"/>
        </w:rPr>
        <w:t>内部编号：ZCQXZB-2022-0279B</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val="en-US" w:eastAsia="zh-CN"/>
        </w:rPr>
        <w:t>成都市技师学院2022年教职工(含离退休职工)健康体检服务采购项目(第二次)</w:t>
      </w:r>
      <w:r>
        <w:rPr>
          <w:rFonts w:hint="eastAsia"/>
          <w:b/>
          <w:bCs/>
          <w:color w:val="auto"/>
          <w:sz w:val="40"/>
          <w:szCs w:val="40"/>
          <w:highlight w:val="none"/>
        </w:rPr>
        <w:t xml:space="preserve"> </w:t>
      </w:r>
    </w:p>
    <w:p>
      <w:pPr>
        <w:pStyle w:val="38"/>
        <w:keepNext w:val="0"/>
        <w:keepLines w:val="0"/>
        <w:pageBreakBefore w:val="0"/>
        <w:widowControl w:val="0"/>
        <w:kinsoku/>
        <w:wordWrap w:val="0"/>
        <w:overflowPunct/>
        <w:topLinePunct/>
        <w:autoSpaceDE/>
        <w:autoSpaceDN/>
        <w:bidi w:val="0"/>
        <w:adjustRightInd w:val="0"/>
        <w:snapToGrid w:val="0"/>
        <w:spacing w:before="4057" w:beforeLines="1300" w:after="4057" w:afterLines="13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   购   人：</w:t>
      </w:r>
      <w:r>
        <w:rPr>
          <w:rFonts w:hint="eastAsia"/>
          <w:b/>
          <w:bCs/>
          <w:color w:val="auto"/>
          <w:sz w:val="28"/>
          <w:szCs w:val="28"/>
          <w:highlight w:val="none"/>
          <w:lang w:eastAsia="zh-CN"/>
        </w:rPr>
        <w:t>成都市技师学院</w:t>
      </w:r>
      <w:r>
        <w:rPr>
          <w:rFonts w:hint="eastAsia"/>
          <w:b/>
          <w:bCs/>
          <w:color w:val="auto"/>
          <w:sz w:val="28"/>
          <w:szCs w:val="28"/>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2022年07月</w:t>
      </w:r>
    </w:p>
    <w:p>
      <w:pPr>
        <w:pStyle w:val="3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40"/>
          <w:szCs w:val="40"/>
          <w:highlight w:val="none"/>
        </w:rPr>
      </w:pPr>
      <w:bookmarkStart w:id="3" w:name="_Toc452473646"/>
      <w:bookmarkStart w:id="4" w:name="_Toc502651262"/>
      <w:bookmarkStart w:id="5" w:name="_Toc372620750"/>
      <w:bookmarkStart w:id="6" w:name="_Toc336690878"/>
      <w:bookmarkStart w:id="7" w:name="_Toc373139265"/>
      <w:bookmarkStart w:id="8" w:name="_Toc371958974"/>
      <w:r>
        <w:rPr>
          <w:rFonts w:hint="eastAsia"/>
          <w:b/>
          <w:bCs/>
          <w:color w:val="auto"/>
          <w:sz w:val="40"/>
          <w:szCs w:val="40"/>
          <w:highlight w:val="none"/>
          <w:lang w:val="en-US" w:eastAsia="zh-CN"/>
        </w:rPr>
        <w:t>政府采购</w:t>
      </w:r>
      <w:r>
        <w:rPr>
          <w:rFonts w:hint="eastAsia"/>
          <w:b/>
          <w:bCs/>
          <w:color w:val="auto"/>
          <w:sz w:val="40"/>
          <w:szCs w:val="40"/>
          <w:highlight w:val="none"/>
        </w:rPr>
        <w:t>阳光宣言</w:t>
      </w:r>
      <w:bookmarkEnd w:id="3"/>
      <w:bookmarkEnd w:id="4"/>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践行</w:t>
      </w:r>
      <w:r>
        <w:rPr>
          <w:rFonts w:hint="eastAsia"/>
          <w:color w:val="auto"/>
          <w:highlight w:val="none"/>
          <w:lang w:val="en-US" w:eastAsia="zh-CN"/>
        </w:rPr>
        <w:t>公平竞争、</w:t>
      </w:r>
      <w:r>
        <w:rPr>
          <w:rFonts w:hint="eastAsia"/>
          <w:color w:val="auto"/>
          <w:highlight w:val="none"/>
        </w:rPr>
        <w:t>诚信</w:t>
      </w:r>
      <w:r>
        <w:rPr>
          <w:rFonts w:hint="eastAsia"/>
          <w:color w:val="auto"/>
          <w:highlight w:val="none"/>
          <w:lang w:val="en-US" w:eastAsia="zh-CN"/>
        </w:rPr>
        <w:t>的</w:t>
      </w:r>
      <w:r>
        <w:rPr>
          <w:rFonts w:hint="eastAsia"/>
          <w:color w:val="auto"/>
          <w:highlight w:val="none"/>
        </w:rPr>
        <w:t>核心价值观，诚信于股东、诚信于</w:t>
      </w:r>
      <w:r>
        <w:rPr>
          <w:rFonts w:hint="eastAsia"/>
          <w:color w:val="auto"/>
          <w:highlight w:val="none"/>
          <w:lang w:val="en-US" w:eastAsia="zh-CN"/>
        </w:rPr>
        <w:t>服务对象</w:t>
      </w:r>
      <w:r>
        <w:rPr>
          <w:rFonts w:hint="eastAsia"/>
          <w:color w:val="auto"/>
          <w:highlight w:val="none"/>
        </w:rPr>
        <w:t>、诚信于员工、诚信于社会。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四川乾新全体</w:t>
      </w:r>
      <w:r>
        <w:rPr>
          <w:rFonts w:hint="eastAsia"/>
          <w:color w:val="auto"/>
          <w:highlight w:val="none"/>
        </w:rPr>
        <w:t>员工严格遵守《</w:t>
      </w:r>
      <w:r>
        <w:rPr>
          <w:rFonts w:hint="eastAsia"/>
          <w:color w:val="auto"/>
          <w:highlight w:val="none"/>
          <w:lang w:val="en-US" w:eastAsia="zh-CN"/>
        </w:rPr>
        <w:t>乾新</w:t>
      </w:r>
      <w:r>
        <w:rPr>
          <w:rFonts w:hint="eastAsia"/>
          <w:color w:val="auto"/>
          <w:highlight w:val="none"/>
        </w:rPr>
        <w:t>十戒》和《员工廉洁从业规定》，遵纪守法，强化自律，廉洁从业，规范经营。</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坚决维护国家利益和社会公共利益，</w:t>
      </w:r>
      <w:r>
        <w:rPr>
          <w:rFonts w:hint="eastAsia"/>
          <w:color w:val="auto"/>
          <w:highlight w:val="none"/>
        </w:rPr>
        <w:t>严守商业道德，悉心维护</w:t>
      </w:r>
      <w:r>
        <w:rPr>
          <w:rFonts w:hint="eastAsia"/>
          <w:color w:val="auto"/>
          <w:highlight w:val="none"/>
          <w:lang w:val="en-US" w:eastAsia="zh-CN"/>
        </w:rPr>
        <w:t>采购人</w:t>
      </w:r>
      <w:r>
        <w:rPr>
          <w:rFonts w:hint="eastAsia"/>
          <w:color w:val="auto"/>
          <w:highlight w:val="none"/>
        </w:rPr>
        <w:t>和</w:t>
      </w:r>
      <w:r>
        <w:rPr>
          <w:rFonts w:hint="eastAsia"/>
          <w:color w:val="auto"/>
          <w:highlight w:val="none"/>
          <w:lang w:val="en-US" w:eastAsia="zh-CN"/>
        </w:rPr>
        <w:t>供应商</w:t>
      </w:r>
      <w:r>
        <w:rPr>
          <w:rFonts w:hint="eastAsia"/>
          <w:color w:val="auto"/>
          <w:highlight w:val="none"/>
        </w:rPr>
        <w:t>权益，开展公平竞争，努力提供优质、</w:t>
      </w:r>
      <w:r>
        <w:rPr>
          <w:rFonts w:hint="eastAsia"/>
          <w:color w:val="auto"/>
          <w:highlight w:val="none"/>
          <w:lang w:val="en-US" w:eastAsia="zh-CN"/>
        </w:rPr>
        <w:t>细心</w:t>
      </w:r>
      <w:r>
        <w:rPr>
          <w:rFonts w:hint="eastAsia"/>
          <w:color w:val="auto"/>
          <w:highlight w:val="none"/>
        </w:rPr>
        <w:t>、</w:t>
      </w:r>
      <w:r>
        <w:rPr>
          <w:rFonts w:hint="eastAsia"/>
          <w:color w:val="auto"/>
          <w:highlight w:val="none"/>
          <w:lang w:val="en-US" w:eastAsia="zh-CN"/>
        </w:rPr>
        <w:t>专业的</w:t>
      </w:r>
      <w:r>
        <w:rPr>
          <w:rFonts w:hint="eastAsia"/>
          <w:color w:val="auto"/>
          <w:highlight w:val="none"/>
        </w:rPr>
        <w:t>服务，为</w:t>
      </w:r>
      <w:r>
        <w:rPr>
          <w:rFonts w:hint="eastAsia"/>
          <w:color w:val="auto"/>
          <w:highlight w:val="none"/>
          <w:lang w:val="en-US" w:eastAsia="zh-CN"/>
        </w:rPr>
        <w:t>采购人</w:t>
      </w:r>
      <w:r>
        <w:rPr>
          <w:rFonts w:hint="eastAsia"/>
          <w:color w:val="auto"/>
          <w:highlight w:val="none"/>
        </w:rPr>
        <w:t>创造价值，与</w:t>
      </w:r>
      <w:r>
        <w:rPr>
          <w:rFonts w:hint="eastAsia"/>
          <w:color w:val="auto"/>
          <w:highlight w:val="none"/>
          <w:lang w:val="en-US" w:eastAsia="zh-CN"/>
        </w:rPr>
        <w:t>采购人</w:t>
      </w:r>
      <w:r>
        <w:rPr>
          <w:rFonts w:hint="eastAsia"/>
          <w:color w:val="auto"/>
          <w:highlight w:val="none"/>
        </w:rPr>
        <w:t>共同成长。坚持不懈反对“四风”，厉行节约，反对浪费，求真务实，克己奉公，精益求精，追求卓越，以出色的</w:t>
      </w:r>
      <w:r>
        <w:rPr>
          <w:rFonts w:hint="eastAsia"/>
          <w:color w:val="auto"/>
          <w:highlight w:val="none"/>
          <w:lang w:val="en-US" w:eastAsia="zh-CN"/>
        </w:rPr>
        <w:t>效益</w:t>
      </w:r>
      <w:r>
        <w:rPr>
          <w:rFonts w:hint="eastAsia"/>
          <w:color w:val="auto"/>
          <w:highlight w:val="none"/>
        </w:rPr>
        <w:t>回报股东，回报社会。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auto"/>
          <w:highlight w:val="none"/>
        </w:rPr>
      </w:pPr>
      <w:r>
        <w:rPr>
          <w:rFonts w:hint="eastAsia"/>
          <w:color w:val="auto"/>
          <w:highlight w:val="none"/>
          <w:lang w:val="en-US" w:eastAsia="zh-CN"/>
        </w:rPr>
        <w:t>四川乾新</w:t>
      </w:r>
      <w:r>
        <w:rPr>
          <w:rFonts w:hint="eastAsia"/>
          <w:color w:val="auto"/>
          <w:highlight w:val="none"/>
        </w:rPr>
        <w:t>与</w:t>
      </w:r>
      <w:r>
        <w:rPr>
          <w:rFonts w:hint="eastAsia"/>
          <w:color w:val="auto"/>
          <w:highlight w:val="none"/>
          <w:lang w:val="en-US" w:eastAsia="zh-CN"/>
        </w:rPr>
        <w:t>服务对象</w:t>
      </w:r>
      <w:r>
        <w:rPr>
          <w:rFonts w:hint="eastAsia"/>
          <w:color w:val="auto"/>
          <w:highlight w:val="none"/>
        </w:rPr>
        <w:t>之间是简单的</w:t>
      </w:r>
      <w:r>
        <w:rPr>
          <w:rFonts w:hint="eastAsia"/>
          <w:color w:val="auto"/>
          <w:highlight w:val="none"/>
          <w:lang w:val="en-US" w:eastAsia="zh-CN"/>
        </w:rPr>
        <w:t>政企、企事业、</w:t>
      </w:r>
      <w:r>
        <w:rPr>
          <w:rFonts w:hint="eastAsia"/>
          <w:color w:val="auto"/>
          <w:highlight w:val="none"/>
        </w:rPr>
        <w:t>企业</w:t>
      </w:r>
      <w:r>
        <w:rPr>
          <w:rFonts w:hint="eastAsia"/>
          <w:color w:val="auto"/>
          <w:highlight w:val="none"/>
          <w:lang w:val="en-US" w:eastAsia="zh-CN"/>
        </w:rPr>
        <w:t>与企业</w:t>
      </w:r>
      <w:r>
        <w:rPr>
          <w:rFonts w:hint="eastAsia"/>
          <w:color w:val="auto"/>
          <w:highlight w:val="none"/>
        </w:rPr>
        <w:t>之间的</w:t>
      </w:r>
      <w:r>
        <w:rPr>
          <w:rFonts w:hint="eastAsia"/>
          <w:color w:val="auto"/>
          <w:highlight w:val="none"/>
          <w:lang w:val="en-US" w:eastAsia="zh-CN"/>
        </w:rPr>
        <w:t>关系</w:t>
      </w:r>
      <w:r>
        <w:rPr>
          <w:rFonts w:hint="eastAsia"/>
          <w:color w:val="auto"/>
          <w:highlight w:val="none"/>
        </w:rPr>
        <w:t>，不存在个人利益动机。</w:t>
      </w:r>
      <w:r>
        <w:rPr>
          <w:rFonts w:hint="eastAsia"/>
          <w:color w:val="auto"/>
          <w:highlight w:val="none"/>
          <w:lang w:val="en-US" w:eastAsia="zh-CN"/>
        </w:rPr>
        <w:t>四川乾新</w:t>
      </w:r>
      <w:r>
        <w:rPr>
          <w:rFonts w:hint="eastAsia"/>
          <w:color w:val="auto"/>
          <w:highlight w:val="none"/>
        </w:rPr>
        <w:t>员工追逐阳光下的公司利润和个人价值，以廉为荣、以贪为耻，忠于职责，恪守《员工廉洁从业规定》。倡导遵守以下行为准则：</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不以向</w:t>
      </w:r>
      <w:r>
        <w:rPr>
          <w:rFonts w:hint="eastAsia"/>
          <w:color w:val="auto"/>
          <w:highlight w:val="none"/>
          <w:lang w:val="en-US" w:eastAsia="zh-CN"/>
        </w:rPr>
        <w:t>采购人</w:t>
      </w:r>
      <w:r>
        <w:rPr>
          <w:rFonts w:hint="eastAsia"/>
          <w:color w:val="auto"/>
          <w:highlight w:val="none"/>
        </w:rPr>
        <w:t>及其亲属提供任何个人利益的方式谋求合作关系；</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 xml:space="preserve">不迷信任何实际存在的或虚构的所谓关系； </w:t>
      </w:r>
    </w:p>
    <w:p>
      <w:pPr>
        <w:pStyle w:val="39"/>
        <w:bidi w:val="0"/>
        <w:rPr>
          <w:rFonts w:hint="eastAsia"/>
          <w:color w:val="auto"/>
          <w:highlight w:val="none"/>
          <w:lang w:eastAsia="zh-CN"/>
        </w:rPr>
      </w:pPr>
      <w:r>
        <w:rPr>
          <w:rFonts w:hint="eastAsia"/>
          <w:color w:val="auto"/>
          <w:highlight w:val="none"/>
          <w:lang w:val="en-US" w:eastAsia="zh-CN"/>
        </w:rPr>
        <w:t>四川乾新</w:t>
      </w:r>
      <w:r>
        <w:rPr>
          <w:rFonts w:hint="eastAsia"/>
          <w:color w:val="auto"/>
          <w:highlight w:val="none"/>
        </w:rPr>
        <w:t>不采取恶性竞争等不正当手段竞争业务</w:t>
      </w:r>
      <w:r>
        <w:rPr>
          <w:rFonts w:hint="eastAsia"/>
          <w:color w:val="auto"/>
          <w:highlight w:val="none"/>
          <w:lang w:eastAsia="zh-CN"/>
        </w:rPr>
        <w:t>；</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不向</w:t>
      </w:r>
      <w:r>
        <w:rPr>
          <w:rFonts w:hint="eastAsia"/>
          <w:color w:val="auto"/>
          <w:highlight w:val="none"/>
          <w:lang w:val="en-US" w:eastAsia="zh-CN"/>
        </w:rPr>
        <w:t>采购人</w:t>
      </w:r>
      <w:r>
        <w:rPr>
          <w:rFonts w:hint="eastAsia"/>
          <w:color w:val="auto"/>
          <w:highlight w:val="none"/>
        </w:rPr>
        <w:t>提供好处费、回扣、现金及有价证券、支付凭证、贵重礼物；</w:t>
      </w:r>
    </w:p>
    <w:p>
      <w:pPr>
        <w:pStyle w:val="39"/>
        <w:bidi w:val="0"/>
        <w:rPr>
          <w:rFonts w:hint="eastAsia"/>
          <w:color w:val="auto"/>
          <w:highlight w:val="none"/>
        </w:rPr>
      </w:pPr>
      <w:r>
        <w:rPr>
          <w:rFonts w:hint="eastAsia"/>
          <w:color w:val="auto"/>
          <w:highlight w:val="none"/>
          <w:lang w:val="en-US" w:eastAsia="zh-CN"/>
        </w:rPr>
        <w:t>四川乾新</w:t>
      </w:r>
      <w:r>
        <w:rPr>
          <w:rFonts w:hint="eastAsia"/>
          <w:color w:val="auto"/>
          <w:highlight w:val="none"/>
        </w:rPr>
        <w:t>不给</w:t>
      </w:r>
      <w:r>
        <w:rPr>
          <w:rFonts w:hint="eastAsia"/>
          <w:color w:val="auto"/>
          <w:highlight w:val="none"/>
          <w:lang w:val="en-US" w:eastAsia="zh-CN"/>
        </w:rPr>
        <w:t>采购人</w:t>
      </w:r>
      <w:r>
        <w:rPr>
          <w:rFonts w:hint="eastAsia"/>
          <w:color w:val="auto"/>
          <w:highlight w:val="none"/>
        </w:rPr>
        <w:t>及其亲属报销任何费用；不向</w:t>
      </w:r>
      <w:r>
        <w:rPr>
          <w:rFonts w:hint="eastAsia"/>
          <w:color w:val="auto"/>
          <w:highlight w:val="none"/>
          <w:lang w:val="en-US" w:eastAsia="zh-CN"/>
        </w:rPr>
        <w:t>采购人</w:t>
      </w:r>
      <w:r>
        <w:rPr>
          <w:rFonts w:hint="eastAsia"/>
          <w:color w:val="auto"/>
          <w:highlight w:val="none"/>
        </w:rPr>
        <w:t>及其亲属提供住房、交通工具、通讯工具、家电、高档办公用品等物品；不向</w:t>
      </w:r>
      <w:r>
        <w:rPr>
          <w:rFonts w:hint="eastAsia"/>
          <w:color w:val="auto"/>
          <w:highlight w:val="none"/>
          <w:lang w:val="en-US" w:eastAsia="zh-CN"/>
        </w:rPr>
        <w:t>采购人</w:t>
      </w:r>
      <w:r>
        <w:rPr>
          <w:rFonts w:hint="eastAsia"/>
          <w:color w:val="auto"/>
          <w:highlight w:val="none"/>
        </w:rPr>
        <w:t>及其亲属的家庭装修、婚丧嫁娶、工作安排、出国、留学等提供资金及物资的资助；</w:t>
      </w:r>
    </w:p>
    <w:p>
      <w:pPr>
        <w:pStyle w:val="39"/>
        <w:bidi w:val="0"/>
        <w:rPr>
          <w:rFonts w:hint="eastAsia"/>
          <w:color w:val="auto"/>
          <w:highlight w:val="none"/>
          <w:lang w:val="en-US" w:eastAsia="zh-CN"/>
        </w:rPr>
      </w:pPr>
      <w:r>
        <w:rPr>
          <w:rFonts w:hint="eastAsia"/>
          <w:color w:val="auto"/>
          <w:highlight w:val="none"/>
          <w:lang w:val="en-US" w:eastAsia="zh-CN"/>
        </w:rPr>
        <w:t>供应商在参与项目时公平竞争，充分发挥市场主体作用，降低采购成本，节约采购资金；</w:t>
      </w:r>
    </w:p>
    <w:p>
      <w:pPr>
        <w:pStyle w:val="39"/>
        <w:bidi w:val="0"/>
        <w:rPr>
          <w:color w:val="auto"/>
          <w:highlight w:val="none"/>
        </w:rPr>
      </w:pPr>
      <w:r>
        <w:rPr>
          <w:rFonts w:hint="eastAsia"/>
          <w:color w:val="auto"/>
          <w:highlight w:val="none"/>
          <w:lang w:val="en-US" w:eastAsia="zh-CN"/>
        </w:rPr>
        <w:t>四川乾新</w:t>
      </w:r>
      <w:r>
        <w:rPr>
          <w:rFonts w:hint="eastAsia"/>
          <w:color w:val="auto"/>
          <w:highlight w:val="none"/>
        </w:rPr>
        <w:t>不与</w:t>
      </w:r>
      <w:r>
        <w:rPr>
          <w:rFonts w:hint="eastAsia"/>
          <w:color w:val="auto"/>
          <w:highlight w:val="none"/>
          <w:lang w:val="en-US" w:eastAsia="zh-CN"/>
        </w:rPr>
        <w:t>采购人、供应商</w:t>
      </w:r>
      <w:r>
        <w:rPr>
          <w:rFonts w:hint="eastAsia"/>
          <w:color w:val="auto"/>
          <w:highlight w:val="none"/>
        </w:rPr>
        <w:t>串通投标；</w:t>
      </w:r>
    </w:p>
    <w:p>
      <w:pPr>
        <w:pStyle w:val="39"/>
        <w:bidi w:val="0"/>
        <w:rPr>
          <w:color w:val="auto"/>
          <w:highlight w:val="none"/>
        </w:rPr>
      </w:pPr>
      <w:r>
        <w:rPr>
          <w:rFonts w:hint="eastAsia"/>
          <w:color w:val="auto"/>
          <w:highlight w:val="none"/>
          <w:lang w:val="en-US" w:eastAsia="zh-CN"/>
        </w:rPr>
        <w:t>四川乾新、采购人</w:t>
      </w:r>
      <w:r>
        <w:rPr>
          <w:rFonts w:hint="eastAsia"/>
          <w:color w:val="auto"/>
          <w:highlight w:val="none"/>
        </w:rPr>
        <w:t>不与</w:t>
      </w:r>
      <w:r>
        <w:rPr>
          <w:rFonts w:hint="eastAsia"/>
          <w:color w:val="auto"/>
          <w:highlight w:val="none"/>
          <w:lang w:val="en-US" w:eastAsia="zh-CN"/>
        </w:rPr>
        <w:t>供应商</w:t>
      </w:r>
      <w:r>
        <w:rPr>
          <w:rFonts w:hint="eastAsia"/>
          <w:color w:val="auto"/>
          <w:highlight w:val="none"/>
        </w:rPr>
        <w:t>就标底、其他单位的投标书等商业秘密及合同中的质量、价格、验收等条款进行私下商谈或者达成默契；</w:t>
      </w:r>
    </w:p>
    <w:p>
      <w:pPr>
        <w:pStyle w:val="39"/>
        <w:bidi w:val="0"/>
        <w:rPr>
          <w:color w:val="auto"/>
          <w:highlight w:val="none"/>
        </w:rPr>
      </w:pPr>
      <w:r>
        <w:rPr>
          <w:rFonts w:hint="eastAsia"/>
          <w:color w:val="auto"/>
          <w:highlight w:val="none"/>
          <w:lang w:val="en-US" w:eastAsia="zh-CN"/>
        </w:rPr>
        <w:t>四川乾新坚决杜绝以下行为：①乾新员工</w:t>
      </w:r>
      <w:r>
        <w:rPr>
          <w:rFonts w:hint="eastAsia"/>
          <w:color w:val="auto"/>
          <w:highlight w:val="none"/>
        </w:rPr>
        <w:t>有行贿倾向、建议</w:t>
      </w:r>
      <w:r>
        <w:rPr>
          <w:rFonts w:hint="eastAsia"/>
          <w:color w:val="auto"/>
          <w:highlight w:val="none"/>
          <w:lang w:val="en-US" w:eastAsia="zh-CN"/>
        </w:rPr>
        <w:t>等行为</w:t>
      </w:r>
      <w:r>
        <w:rPr>
          <w:rFonts w:hint="eastAsia"/>
          <w:color w:val="auto"/>
          <w:highlight w:val="none"/>
          <w:lang w:eastAsia="zh-CN"/>
        </w:rPr>
        <w:t>；</w:t>
      </w:r>
      <w:r>
        <w:rPr>
          <w:rFonts w:hint="eastAsia"/>
          <w:color w:val="auto"/>
          <w:highlight w:val="none"/>
          <w:lang w:val="en-US" w:eastAsia="zh-CN"/>
        </w:rPr>
        <w:t>②乾新</w:t>
      </w:r>
      <w:r>
        <w:rPr>
          <w:rFonts w:hint="eastAsia"/>
          <w:color w:val="auto"/>
          <w:highlight w:val="none"/>
        </w:rPr>
        <w:t>员工有索贿、受贿</w:t>
      </w:r>
      <w:r>
        <w:rPr>
          <w:rFonts w:hint="eastAsia"/>
          <w:color w:val="auto"/>
          <w:highlight w:val="none"/>
          <w:lang w:val="en-US" w:eastAsia="zh-CN"/>
        </w:rPr>
        <w:t>等行为</w:t>
      </w:r>
      <w:r>
        <w:rPr>
          <w:rFonts w:hint="eastAsia"/>
          <w:color w:val="auto"/>
          <w:highlight w:val="none"/>
        </w:rPr>
        <w:t>。</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如出现违反宣言的行为，</w:t>
      </w:r>
      <w:r>
        <w:rPr>
          <w:rFonts w:hint="eastAsia"/>
          <w:color w:val="auto"/>
          <w:highlight w:val="none"/>
          <w:lang w:val="en-US" w:eastAsia="zh-CN"/>
        </w:rPr>
        <w:t>请及时向四川乾新</w:t>
      </w:r>
      <w:r>
        <w:rPr>
          <w:rFonts w:hint="eastAsia"/>
          <w:color w:val="auto"/>
          <w:highlight w:val="none"/>
        </w:rPr>
        <w:t>监察部投诉</w:t>
      </w:r>
      <w:r>
        <w:rPr>
          <w:rFonts w:hint="eastAsia"/>
          <w:color w:val="auto"/>
          <w:highlight w:val="none"/>
          <w:lang w:val="en-US" w:eastAsia="zh-CN"/>
        </w:rPr>
        <w:t>或</w:t>
      </w:r>
      <w:r>
        <w:rPr>
          <w:rFonts w:hint="eastAsia"/>
          <w:color w:val="auto"/>
          <w:highlight w:val="none"/>
        </w:rPr>
        <w:t>举报</w:t>
      </w:r>
      <w:r>
        <w:rPr>
          <w:rFonts w:hint="eastAsia"/>
          <w:color w:val="auto"/>
          <w:highlight w:val="none"/>
          <w:lang w:eastAsia="zh-CN"/>
        </w:rPr>
        <w:t>，</w:t>
      </w:r>
      <w:r>
        <w:rPr>
          <w:rFonts w:hint="eastAsia"/>
          <w:color w:val="auto"/>
          <w:highlight w:val="none"/>
        </w:rPr>
        <w:t>经核查属实的，</w:t>
      </w:r>
      <w:r>
        <w:rPr>
          <w:rFonts w:hint="eastAsia"/>
          <w:color w:val="auto"/>
          <w:highlight w:val="none"/>
          <w:lang w:val="en-US" w:eastAsia="zh-CN"/>
        </w:rPr>
        <w:t>严格按照公司规定处理，涉及违法违纪的将追究相关法律责任</w:t>
      </w:r>
      <w:r>
        <w:rPr>
          <w:rFonts w:hint="eastAsia"/>
          <w:color w:val="auto"/>
          <w:highlight w:val="none"/>
        </w:rPr>
        <w:t>。</w:t>
      </w:r>
      <w:r>
        <w:rPr>
          <w:rFonts w:hint="eastAsia"/>
          <w:color w:val="auto"/>
          <w:highlight w:val="none"/>
          <w:lang w:val="en-US" w:eastAsia="zh-CN"/>
        </w:rPr>
        <w:t>请各采购人及供应商积极</w:t>
      </w:r>
      <w:r>
        <w:rPr>
          <w:rFonts w:hint="eastAsia"/>
          <w:color w:val="auto"/>
          <w:highlight w:val="none"/>
        </w:rPr>
        <w:t>宣传本宣言，了解并自觉践行宣言，共同营造</w:t>
      </w:r>
      <w:r>
        <w:rPr>
          <w:rFonts w:hint="eastAsia"/>
          <w:color w:val="auto"/>
          <w:highlight w:val="none"/>
          <w:lang w:val="en-US" w:eastAsia="zh-CN"/>
        </w:rPr>
        <w:t>公平</w:t>
      </w:r>
      <w:r>
        <w:rPr>
          <w:rFonts w:hint="eastAsia"/>
          <w:color w:val="auto"/>
          <w:highlight w:val="none"/>
          <w:lang w:eastAsia="zh-CN"/>
        </w:rPr>
        <w:t>、</w:t>
      </w:r>
      <w:r>
        <w:rPr>
          <w:rFonts w:hint="eastAsia"/>
          <w:color w:val="auto"/>
          <w:highlight w:val="none"/>
          <w:lang w:val="en-US" w:eastAsia="zh-CN"/>
        </w:rPr>
        <w:t>公正、公开、诚实信用、讲求绩效</w:t>
      </w:r>
      <w:r>
        <w:rPr>
          <w:rFonts w:hint="eastAsia"/>
          <w:color w:val="auto"/>
          <w:highlight w:val="none"/>
        </w:rPr>
        <w:t>的</w:t>
      </w:r>
      <w:r>
        <w:rPr>
          <w:rFonts w:hint="eastAsia"/>
          <w:color w:val="auto"/>
          <w:highlight w:val="none"/>
          <w:lang w:val="en-US" w:eastAsia="zh-CN"/>
        </w:rPr>
        <w:t>政采营商环境</w:t>
      </w:r>
      <w:r>
        <w:rPr>
          <w:rFonts w:hint="eastAsia"/>
          <w:color w:val="auto"/>
          <w:highlight w:val="none"/>
          <w:lang w:eastAsia="zh-CN"/>
        </w:rPr>
        <w:t>，</w:t>
      </w:r>
      <w:r>
        <w:rPr>
          <w:rFonts w:hint="eastAsia"/>
          <w:color w:val="auto"/>
          <w:highlight w:val="none"/>
          <w:lang w:val="en-US" w:eastAsia="zh-CN"/>
        </w:rPr>
        <w:t>共同推动政府采购行业健康发展</w:t>
      </w:r>
      <w:r>
        <w:rPr>
          <w:rFonts w:hint="eastAsia"/>
          <w:color w:val="auto"/>
          <w:highlight w:val="none"/>
        </w:rPr>
        <w:t>。</w:t>
      </w:r>
      <w:r>
        <w:rPr>
          <w:rFonts w:hint="eastAsia"/>
          <w:color w:val="auto"/>
          <w:highlight w:val="none"/>
          <w:lang w:val="en-US" w:eastAsia="zh-CN"/>
        </w:rPr>
        <w:t xml:space="preserve"> </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监察部投诉及举报邮箱：</w:t>
      </w:r>
      <w:r>
        <w:rPr>
          <w:rFonts w:hint="eastAsia"/>
          <w:color w:val="auto"/>
          <w:highlight w:val="none"/>
          <w:lang w:val="en-US" w:eastAsia="zh-CN"/>
        </w:rPr>
        <w:t>scqxzb_shl@163.com</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olor w:val="auto"/>
          <w:highlight w:val="none"/>
          <w:lang w:val="en-US" w:eastAsia="zh-CN"/>
        </w:rPr>
        <w:t>监察部投诉及举报电话：028-62630990</w:t>
      </w:r>
      <w:bookmarkEnd w:id="5"/>
      <w:bookmarkEnd w:id="6"/>
      <w:bookmarkEnd w:id="7"/>
      <w:bookmarkEnd w:id="8"/>
    </w:p>
    <w:p>
      <w:pPr>
        <w:pStyle w:val="38"/>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rPr>
          <w:color w:val="auto"/>
          <w:highlight w:val="none"/>
        </w:rPr>
      </w:pPr>
      <w:bookmarkStart w:id="9" w:name="_Toc15794"/>
      <w:bookmarkStart w:id="10" w:name="_Toc26242"/>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_Toc26208 </w:instrText>
      </w:r>
      <w:r>
        <w:rPr>
          <w:color w:val="auto"/>
          <w:highlight w:val="none"/>
        </w:rPr>
        <w:fldChar w:fldCharType="separate"/>
      </w:r>
      <w:r>
        <w:rPr>
          <w:rFonts w:hint="eastAsia" w:ascii="宋体" w:hAnsi="宋体" w:eastAsia="宋体"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_Toc26208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eastAsia="宋体" w:cs="宋体"/>
          <w:color w:val="auto"/>
          <w:highlight w:val="none"/>
          <w:lang w:val="en-US" w:eastAsia="zh-CN"/>
        </w:rPr>
        <w:t xml:space="preserve">第二章 </w:t>
      </w:r>
      <w:r>
        <w:rPr>
          <w:rFonts w:hint="eastAsia"/>
          <w:color w:val="auto"/>
          <w:highlight w:val="none"/>
          <w:lang w:val="en-US" w:eastAsia="zh-CN"/>
        </w:rPr>
        <w:t>投标人须知</w:t>
      </w:r>
      <w:r>
        <w:rPr>
          <w:color w:val="auto"/>
          <w:highlight w:val="none"/>
        </w:rPr>
        <w:tab/>
      </w:r>
      <w:r>
        <w:rPr>
          <w:color w:val="auto"/>
          <w:highlight w:val="none"/>
        </w:rPr>
        <w:fldChar w:fldCharType="begin"/>
      </w:r>
      <w:r>
        <w:rPr>
          <w:color w:val="auto"/>
          <w:highlight w:val="none"/>
        </w:rPr>
        <w:instrText xml:space="preserve"> PAGEREF _Toc13811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_Toc7841 </w:instrText>
      </w:r>
      <w:r>
        <w:rPr>
          <w:color w:val="auto"/>
          <w:highlight w:val="none"/>
        </w:rPr>
        <w:fldChar w:fldCharType="separate"/>
      </w:r>
      <w:r>
        <w:rPr>
          <w:rFonts w:hint="eastAsia"/>
          <w:color w:val="auto"/>
          <w:highlight w:val="none"/>
        </w:rPr>
        <w:t>一、 投标人须知</w:t>
      </w:r>
      <w:r>
        <w:rPr>
          <w:rFonts w:hint="eastAsia"/>
          <w:color w:val="auto"/>
          <w:highlight w:val="none"/>
          <w:lang w:val="en-US" w:eastAsia="zh-CN"/>
        </w:rPr>
        <w:t>前</w:t>
      </w:r>
      <w:r>
        <w:rPr>
          <w:rFonts w:hint="eastAsia"/>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_Toc7841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_Toc5586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_Toc5586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_Toc13887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_Toc13887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_Toc13801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有关定义</w:t>
      </w:r>
      <w:r>
        <w:rPr>
          <w:color w:val="auto"/>
          <w:highlight w:val="none"/>
        </w:rPr>
        <w:tab/>
      </w:r>
      <w:r>
        <w:rPr>
          <w:color w:val="auto"/>
          <w:highlight w:val="none"/>
        </w:rPr>
        <w:fldChar w:fldCharType="begin"/>
      </w:r>
      <w:r>
        <w:rPr>
          <w:color w:val="auto"/>
          <w:highlight w:val="none"/>
        </w:rPr>
        <w:instrText xml:space="preserve"> PAGEREF _Toc13801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_Toc31562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合格的投标人</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_Toc31562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_Toc26745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投标费用</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_Toc26745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_Toc2474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充分、公平竞争保障措施</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_Toc2474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_Toc18891 </w:instrText>
      </w:r>
      <w:r>
        <w:rPr>
          <w:color w:val="auto"/>
          <w:highlight w:val="none"/>
        </w:rPr>
        <w:fldChar w:fldCharType="separate"/>
      </w:r>
      <w:r>
        <w:rPr>
          <w:rFonts w:hint="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_Toc18891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_Toc17532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_Toc17532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_Toc28827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_Toc28827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_Toc28504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_Toc28504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_Toc8899 </w:instrText>
      </w:r>
      <w:r>
        <w:rPr>
          <w:color w:val="auto"/>
          <w:highlight w:val="none"/>
        </w:rPr>
        <w:fldChar w:fldCharType="separate"/>
      </w:r>
      <w:r>
        <w:rPr>
          <w:rFonts w:hint="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_Toc8899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_Toc3784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投标文件的语言</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_Toc3784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_Toc14425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计量单位</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_Toc14425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_Toc12664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投标货币</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_Toc12664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_Toc26778 </w:instrText>
      </w:r>
      <w:r>
        <w:rPr>
          <w:color w:val="auto"/>
          <w:highlight w:val="none"/>
        </w:rPr>
        <w:fldChar w:fldCharType="separate"/>
      </w:r>
      <w:r>
        <w:rPr>
          <w:rFonts w:hint="eastAsia" w:ascii="宋体" w:hAnsi="宋体" w:eastAsia="宋体" w:cs="宋体"/>
          <w:color w:val="auto"/>
          <w:highlight w:val="none"/>
          <w:lang w:eastAsia="zh-CN"/>
        </w:rPr>
        <w:t xml:space="preserve">(四) </w:t>
      </w:r>
      <w:r>
        <w:rPr>
          <w:rFonts w:hint="eastAsia"/>
          <w:color w:val="auto"/>
          <w:highlight w:val="none"/>
        </w:rPr>
        <w:t>联合体投标</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_Toc26778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_Toc4070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知识产权</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_Toc4070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_Toc22363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_Toc22363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_Toc7840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_Toc7840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_Toc20298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_Toc20298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_Toc12564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投标有效期</w:t>
      </w:r>
      <w:r>
        <w:rPr>
          <w:rFonts w:hint="eastAsia"/>
          <w:color w:val="auto"/>
          <w:highlight w:val="none"/>
          <w:lang w:eastAsia="zh-CN"/>
        </w:rPr>
        <w:t>(</w:t>
      </w:r>
      <w:r>
        <w:rPr>
          <w:rFonts w:hint="eastAsia"/>
          <w:color w:val="auto"/>
          <w:highlight w:val="none"/>
        </w:rPr>
        <w:t>实质性要求</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_Toc12564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_Toc24326 </w:instrText>
      </w:r>
      <w:r>
        <w:rPr>
          <w:color w:val="auto"/>
          <w:highlight w:val="none"/>
        </w:rPr>
        <w:fldChar w:fldCharType="separate"/>
      </w:r>
      <w:r>
        <w:rPr>
          <w:rFonts w:hint="eastAsia" w:ascii="宋体" w:hAnsi="宋体" w:eastAsia="宋体" w:cs="宋体"/>
          <w:color w:val="auto"/>
          <w:highlight w:val="none"/>
        </w:rPr>
        <w:t xml:space="preserve">(十) </w:t>
      </w:r>
      <w:r>
        <w:rPr>
          <w:rFonts w:hint="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_Toc24326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_Toc17709 </w:instrText>
      </w:r>
      <w:r>
        <w:rPr>
          <w:color w:val="auto"/>
          <w:highlight w:val="none"/>
        </w:rPr>
        <w:fldChar w:fldCharType="separate"/>
      </w:r>
      <w:r>
        <w:rPr>
          <w:rFonts w:hint="eastAsia" w:ascii="宋体" w:hAnsi="宋体" w:eastAsia="宋体" w:cs="宋体"/>
          <w:color w:val="auto"/>
          <w:highlight w:val="none"/>
        </w:rPr>
        <w:t xml:space="preserve">(十一) </w:t>
      </w:r>
      <w:r>
        <w:rPr>
          <w:rFonts w:hint="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_Toc17709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_Toc17655 </w:instrText>
      </w:r>
      <w:r>
        <w:rPr>
          <w:color w:val="auto"/>
          <w:highlight w:val="none"/>
        </w:rPr>
        <w:fldChar w:fldCharType="separate"/>
      </w:r>
      <w:r>
        <w:rPr>
          <w:rFonts w:hint="eastAsia" w:ascii="宋体" w:hAnsi="宋体" w:eastAsia="宋体" w:cs="宋体"/>
          <w:color w:val="auto"/>
          <w:highlight w:val="none"/>
        </w:rPr>
        <w:t xml:space="preserve">(十二) </w:t>
      </w:r>
      <w:r>
        <w:rPr>
          <w:rFonts w:hint="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_Toc17655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_Toc26696 </w:instrText>
      </w:r>
      <w:r>
        <w:rPr>
          <w:color w:val="auto"/>
          <w:highlight w:val="none"/>
        </w:rPr>
        <w:fldChar w:fldCharType="separate"/>
      </w:r>
      <w:r>
        <w:rPr>
          <w:rFonts w:hint="eastAsia" w:ascii="宋体" w:hAnsi="宋体" w:eastAsia="宋体" w:cs="宋体"/>
          <w:color w:val="auto"/>
          <w:highlight w:val="none"/>
        </w:rPr>
        <w:t xml:space="preserve">(十三) </w:t>
      </w:r>
      <w:r>
        <w:rPr>
          <w:rFonts w:hint="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_Toc26696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_Toc10738 </w:instrText>
      </w:r>
      <w:r>
        <w:rPr>
          <w:color w:val="auto"/>
          <w:highlight w:val="none"/>
        </w:rPr>
        <w:fldChar w:fldCharType="separate"/>
      </w:r>
      <w:r>
        <w:rPr>
          <w:rFonts w:hint="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_Toc10738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_Toc26383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_Toc26383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_Toc23192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_Toc23192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_Toc11212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开评标过程存档</w:t>
      </w:r>
      <w:r>
        <w:rPr>
          <w:color w:val="auto"/>
          <w:highlight w:val="none"/>
        </w:rPr>
        <w:tab/>
      </w:r>
      <w:r>
        <w:rPr>
          <w:color w:val="auto"/>
          <w:highlight w:val="none"/>
        </w:rPr>
        <w:fldChar w:fldCharType="begin"/>
      </w:r>
      <w:r>
        <w:rPr>
          <w:color w:val="auto"/>
          <w:highlight w:val="none"/>
        </w:rPr>
        <w:instrText xml:space="preserve"> PAGEREF _Toc11212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_Toc28531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color w:val="auto"/>
          <w:highlight w:val="none"/>
          <w:lang w:val="en-US" w:eastAsia="zh-CN"/>
        </w:rPr>
        <w:t>中标结果</w:t>
      </w:r>
      <w:r>
        <w:rPr>
          <w:color w:val="auto"/>
          <w:highlight w:val="none"/>
        </w:rPr>
        <w:tab/>
      </w:r>
      <w:r>
        <w:rPr>
          <w:color w:val="auto"/>
          <w:highlight w:val="none"/>
        </w:rPr>
        <w:fldChar w:fldCharType="begin"/>
      </w:r>
      <w:r>
        <w:rPr>
          <w:color w:val="auto"/>
          <w:highlight w:val="none"/>
        </w:rPr>
        <w:instrText xml:space="preserve"> PAGEREF _Toc28531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_Toc3749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_Toc3749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_Toc717 </w:instrText>
      </w:r>
      <w:r>
        <w:rPr>
          <w:color w:val="auto"/>
          <w:highlight w:val="none"/>
        </w:rPr>
        <w:fldChar w:fldCharType="separate"/>
      </w:r>
      <w:r>
        <w:rPr>
          <w:rFonts w:hint="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_Toc717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_Toc16526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_Toc16526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_Toc19026 </w:instrText>
      </w:r>
      <w:r>
        <w:rPr>
          <w:color w:val="auto"/>
          <w:highlight w:val="none"/>
        </w:rPr>
        <w:fldChar w:fldCharType="separate"/>
      </w:r>
      <w:r>
        <w:rPr>
          <w:rFonts w:hint="eastAsia" w:ascii="宋体" w:hAnsi="宋体" w:eastAsia="宋体" w:cs="宋体"/>
          <w:color w:val="auto"/>
          <w:highlight w:val="none"/>
          <w:lang w:val="en-US"/>
        </w:rPr>
        <w:t xml:space="preserve">(二) </w:t>
      </w:r>
      <w:r>
        <w:rPr>
          <w:rFonts w:hint="eastAsia"/>
          <w:color w:val="auto"/>
          <w:highlight w:val="none"/>
        </w:rPr>
        <w:t>合同分包</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_Toc19026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_Toc28388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合同转包</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_Toc28388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_Toc23235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_Toc23235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_Toc27861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合同公告</w:t>
      </w:r>
      <w:r>
        <w:rPr>
          <w:rFonts w:hint="eastAsia"/>
          <w:color w:val="auto"/>
          <w:highlight w:val="none"/>
          <w:lang w:val="en-US" w:eastAsia="zh-CN"/>
        </w:rPr>
        <w:t>备案</w:t>
      </w:r>
      <w:r>
        <w:rPr>
          <w:color w:val="auto"/>
          <w:highlight w:val="none"/>
        </w:rPr>
        <w:tab/>
      </w:r>
      <w:r>
        <w:rPr>
          <w:color w:val="auto"/>
          <w:highlight w:val="none"/>
        </w:rPr>
        <w:fldChar w:fldCharType="begin"/>
      </w:r>
      <w:r>
        <w:rPr>
          <w:color w:val="auto"/>
          <w:highlight w:val="none"/>
        </w:rPr>
        <w:instrText xml:space="preserve"> PAGEREF _Toc27861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_Toc20036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履约保证金</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_Toc20036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_Toc22776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_Toc22776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_Toc2567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_Toc2567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_Toc10441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资金支付</w:t>
      </w:r>
      <w:r>
        <w:rPr>
          <w:rFonts w:hint="eastAsia"/>
          <w:color w:val="auto"/>
          <w:highlight w:val="none"/>
          <w:lang w:val="en-US" w:eastAsia="zh-CN"/>
        </w:rPr>
        <w:t>方式、时间、条件</w:t>
      </w:r>
      <w:r>
        <w:rPr>
          <w:color w:val="auto"/>
          <w:highlight w:val="none"/>
        </w:rPr>
        <w:tab/>
      </w:r>
      <w:r>
        <w:rPr>
          <w:color w:val="auto"/>
          <w:highlight w:val="none"/>
        </w:rPr>
        <w:fldChar w:fldCharType="begin"/>
      </w:r>
      <w:r>
        <w:rPr>
          <w:color w:val="auto"/>
          <w:highlight w:val="none"/>
        </w:rPr>
        <w:instrText xml:space="preserve"> PAGEREF _Toc10441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_Toc1635 </w:instrText>
      </w:r>
      <w:r>
        <w:rPr>
          <w:color w:val="auto"/>
          <w:highlight w:val="none"/>
        </w:rPr>
        <w:fldChar w:fldCharType="separate"/>
      </w:r>
      <w:r>
        <w:rPr>
          <w:rFonts w:hint="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_Toc1635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_Toc4325 </w:instrText>
      </w:r>
      <w:r>
        <w:rPr>
          <w:color w:val="auto"/>
          <w:highlight w:val="none"/>
        </w:rPr>
        <w:fldChar w:fldCharType="separate"/>
      </w:r>
      <w:r>
        <w:rPr>
          <w:rFonts w:hint="eastAsia"/>
          <w:color w:val="auto"/>
          <w:highlight w:val="none"/>
        </w:rPr>
        <w:t xml:space="preserve">八、 </w:t>
      </w:r>
      <w:r>
        <w:rPr>
          <w:rFonts w:hint="eastAsia"/>
          <w:color w:val="auto"/>
          <w:highlight w:val="none"/>
          <w:lang w:val="en-US" w:eastAsia="zh-CN"/>
        </w:rPr>
        <w:t>其他</w:t>
      </w:r>
      <w:r>
        <w:rPr>
          <w:color w:val="auto"/>
          <w:highlight w:val="none"/>
        </w:rPr>
        <w:tab/>
      </w:r>
      <w:r>
        <w:rPr>
          <w:color w:val="auto"/>
          <w:highlight w:val="none"/>
        </w:rPr>
        <w:fldChar w:fldCharType="begin"/>
      </w:r>
      <w:r>
        <w:rPr>
          <w:color w:val="auto"/>
          <w:highlight w:val="none"/>
        </w:rPr>
        <w:instrText xml:space="preserve"> PAGEREF _Toc4325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_Toc21660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询问</w:t>
      </w:r>
      <w:r>
        <w:rPr>
          <w:rFonts w:hint="eastAsia"/>
          <w:color w:val="auto"/>
          <w:highlight w:val="none"/>
          <w:lang w:eastAsia="zh-CN"/>
        </w:rPr>
        <w:t>、</w:t>
      </w:r>
      <w:r>
        <w:rPr>
          <w:rFonts w:hint="eastAsia"/>
          <w:color w:val="auto"/>
          <w:highlight w:val="none"/>
          <w:lang w:val="en-US" w:eastAsia="zh-CN"/>
        </w:rPr>
        <w:t>质疑和投诉</w:t>
      </w:r>
      <w:r>
        <w:rPr>
          <w:color w:val="auto"/>
          <w:highlight w:val="none"/>
        </w:rPr>
        <w:tab/>
      </w:r>
      <w:r>
        <w:rPr>
          <w:color w:val="auto"/>
          <w:highlight w:val="none"/>
        </w:rPr>
        <w:fldChar w:fldCharType="begin"/>
      </w:r>
      <w:r>
        <w:rPr>
          <w:color w:val="auto"/>
          <w:highlight w:val="none"/>
        </w:rPr>
        <w:instrText xml:space="preserve"> PAGEREF _Toc21660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_Toc14389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_Toc14389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_Toc14303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串通投标的情形</w:t>
      </w:r>
      <w:r>
        <w:rPr>
          <w:color w:val="auto"/>
          <w:highlight w:val="none"/>
        </w:rPr>
        <w:tab/>
      </w:r>
      <w:r>
        <w:rPr>
          <w:color w:val="auto"/>
          <w:highlight w:val="none"/>
        </w:rPr>
        <w:fldChar w:fldCharType="begin"/>
      </w:r>
      <w:r>
        <w:rPr>
          <w:color w:val="auto"/>
          <w:highlight w:val="none"/>
        </w:rPr>
        <w:instrText xml:space="preserve"> PAGEREF _Toc14303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_Toc21870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color w:val="auto"/>
          <w:highlight w:val="none"/>
          <w:lang w:val="en-US" w:eastAsia="zh-CN"/>
        </w:rPr>
        <w:t>投标人信用信息查询</w:t>
      </w:r>
      <w:r>
        <w:rPr>
          <w:color w:val="auto"/>
          <w:highlight w:val="none"/>
        </w:rPr>
        <w:tab/>
      </w:r>
      <w:r>
        <w:rPr>
          <w:color w:val="auto"/>
          <w:highlight w:val="none"/>
        </w:rPr>
        <w:fldChar w:fldCharType="begin"/>
      </w:r>
      <w:r>
        <w:rPr>
          <w:color w:val="auto"/>
          <w:highlight w:val="none"/>
        </w:rPr>
        <w:instrText xml:space="preserve"> PAGEREF _Toc21870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_Toc4939 </w:instrText>
      </w:r>
      <w:r>
        <w:rPr>
          <w:color w:val="auto"/>
          <w:highlight w:val="none"/>
        </w:rPr>
        <w:fldChar w:fldCharType="separate"/>
      </w:r>
      <w:r>
        <w:rPr>
          <w:rFonts w:hint="eastAsia" w:ascii="宋体" w:hAnsi="宋体" w:eastAsia="宋体" w:cs="宋体"/>
          <w:color w:val="auto"/>
          <w:highlight w:val="none"/>
          <w:lang w:val="en-US" w:eastAsia="zh-CN"/>
        </w:rPr>
        <w:t xml:space="preserve">(五) </w:t>
      </w:r>
      <w:r>
        <w:rPr>
          <w:rFonts w:hint="eastAsia"/>
          <w:color w:val="auto"/>
          <w:highlight w:val="none"/>
          <w:lang w:val="en-US" w:eastAsia="zh-CN"/>
        </w:rPr>
        <w:t>保密</w:t>
      </w:r>
      <w:r>
        <w:rPr>
          <w:color w:val="auto"/>
          <w:highlight w:val="none"/>
        </w:rPr>
        <w:tab/>
      </w:r>
      <w:r>
        <w:rPr>
          <w:color w:val="auto"/>
          <w:highlight w:val="none"/>
        </w:rPr>
        <w:fldChar w:fldCharType="begin"/>
      </w:r>
      <w:r>
        <w:rPr>
          <w:color w:val="auto"/>
          <w:highlight w:val="none"/>
        </w:rPr>
        <w:instrText xml:space="preserve"> PAGEREF _Toc4939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_Toc4492 </w:instrText>
      </w:r>
      <w:r>
        <w:rPr>
          <w:color w:val="auto"/>
          <w:highlight w:val="none"/>
        </w:rPr>
        <w:fldChar w:fldCharType="separate"/>
      </w:r>
      <w:r>
        <w:rPr>
          <w:rFonts w:hint="eastAsia" w:ascii="宋体" w:hAnsi="宋体" w:eastAsia="宋体" w:cs="宋体"/>
          <w:color w:val="auto"/>
          <w:highlight w:val="none"/>
          <w:lang w:val="en-US" w:eastAsia="zh-CN"/>
        </w:rPr>
        <w:t xml:space="preserve">(六) </w:t>
      </w:r>
      <w:r>
        <w:rPr>
          <w:rFonts w:hint="eastAsia"/>
          <w:color w:val="auto"/>
          <w:highlight w:val="none"/>
          <w:lang w:val="en-US" w:eastAsia="zh-CN"/>
        </w:rPr>
        <w:t>回避</w:t>
      </w:r>
      <w:r>
        <w:rPr>
          <w:color w:val="auto"/>
          <w:highlight w:val="none"/>
        </w:rPr>
        <w:tab/>
      </w:r>
      <w:r>
        <w:rPr>
          <w:color w:val="auto"/>
          <w:highlight w:val="none"/>
        </w:rPr>
        <w:fldChar w:fldCharType="begin"/>
      </w:r>
      <w:r>
        <w:rPr>
          <w:color w:val="auto"/>
          <w:highlight w:val="none"/>
        </w:rPr>
        <w:instrText xml:space="preserve"> PAGEREF _Toc4492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_Toc15601 </w:instrText>
      </w:r>
      <w:r>
        <w:rPr>
          <w:color w:val="auto"/>
          <w:highlight w:val="none"/>
        </w:rPr>
        <w:fldChar w:fldCharType="separate"/>
      </w:r>
      <w:r>
        <w:rPr>
          <w:rFonts w:hint="eastAsia" w:ascii="宋体" w:hAnsi="宋体" w:eastAsia="宋体" w:cs="宋体"/>
          <w:color w:val="auto"/>
          <w:highlight w:val="none"/>
          <w:lang w:val="en-US" w:eastAsia="zh-CN"/>
        </w:rPr>
        <w:t xml:space="preserve">(七) </w:t>
      </w:r>
      <w:r>
        <w:rPr>
          <w:rFonts w:hint="eastAsia"/>
          <w:color w:val="auto"/>
          <w:highlight w:val="none"/>
          <w:lang w:val="en-US" w:eastAsia="zh-CN"/>
        </w:rPr>
        <w:t>解释说明</w:t>
      </w:r>
      <w:r>
        <w:rPr>
          <w:color w:val="auto"/>
          <w:highlight w:val="none"/>
        </w:rPr>
        <w:tab/>
      </w:r>
      <w:r>
        <w:rPr>
          <w:color w:val="auto"/>
          <w:highlight w:val="none"/>
        </w:rPr>
        <w:fldChar w:fldCharType="begin"/>
      </w:r>
      <w:r>
        <w:rPr>
          <w:color w:val="auto"/>
          <w:highlight w:val="none"/>
        </w:rPr>
        <w:instrText xml:space="preserve"> PAGEREF _Toc15601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_Toc7990 </w:instrText>
      </w:r>
      <w:r>
        <w:rPr>
          <w:color w:val="auto"/>
          <w:highlight w:val="none"/>
        </w:rPr>
        <w:fldChar w:fldCharType="separate"/>
      </w:r>
      <w:r>
        <w:rPr>
          <w:rFonts w:hint="eastAsia" w:ascii="宋体" w:hAnsi="宋体" w:eastAsia="宋体"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_Toc7990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_Toc1594 </w:instrText>
      </w:r>
      <w:r>
        <w:rPr>
          <w:color w:val="auto"/>
          <w:highlight w:val="none"/>
        </w:rPr>
        <w:fldChar w:fldCharType="separate"/>
      </w:r>
      <w:r>
        <w:rPr>
          <w:rFonts w:hint="eastAsia"/>
          <w:color w:val="auto"/>
          <w:szCs w:val="32"/>
          <w:highlight w:val="none"/>
          <w:lang w:val="en-US" w:eastAsia="zh-CN"/>
        </w:rPr>
        <w:t>第一部</w:t>
      </w:r>
      <w:r>
        <w:rPr>
          <w:rFonts w:hint="eastAsia"/>
          <w:color w:val="auto"/>
          <w:szCs w:val="32"/>
          <w:highlight w:val="none"/>
        </w:rPr>
        <w:t>分 资格、资质性及其他类似效力</w:t>
      </w:r>
      <w:r>
        <w:rPr>
          <w:rFonts w:hint="eastAsia"/>
          <w:color w:val="auto"/>
          <w:szCs w:val="32"/>
          <w:highlight w:val="none"/>
          <w:lang w:val="en-US" w:eastAsia="zh-CN"/>
        </w:rPr>
        <w:t>投标</w:t>
      </w:r>
      <w:r>
        <w:rPr>
          <w:rFonts w:hint="eastAsia"/>
          <w:color w:val="auto"/>
          <w:szCs w:val="32"/>
          <w:highlight w:val="none"/>
        </w:rPr>
        <w:t>文件(格式)</w:t>
      </w:r>
      <w:r>
        <w:rPr>
          <w:color w:val="auto"/>
          <w:highlight w:val="none"/>
        </w:rPr>
        <w:tab/>
      </w:r>
      <w:r>
        <w:rPr>
          <w:color w:val="auto"/>
          <w:highlight w:val="none"/>
        </w:rPr>
        <w:fldChar w:fldCharType="begin"/>
      </w:r>
      <w:r>
        <w:rPr>
          <w:color w:val="auto"/>
          <w:highlight w:val="none"/>
        </w:rPr>
        <w:instrText xml:space="preserve"> PAGEREF _Toc1594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_Toc13866 </w:instrText>
      </w:r>
      <w:r>
        <w:rPr>
          <w:color w:val="auto"/>
          <w:highlight w:val="none"/>
        </w:rPr>
        <w:fldChar w:fldCharType="separate"/>
      </w:r>
      <w:r>
        <w:rPr>
          <w:rFonts w:hint="eastAsia"/>
          <w:color w:val="auto"/>
          <w:highlight w:val="none"/>
        </w:rPr>
        <w:t>一、 法定代表人</w:t>
      </w:r>
      <w:r>
        <w:rPr>
          <w:rFonts w:hint="eastAsia"/>
          <w:color w:val="auto"/>
          <w:highlight w:val="none"/>
          <w:lang w:val="en-US" w:eastAsia="zh-CN"/>
        </w:rPr>
        <w:t>/单位负责人</w:t>
      </w:r>
      <w:r>
        <w:rPr>
          <w:rFonts w:hint="eastAsia"/>
          <w:color w:val="auto"/>
          <w:highlight w:val="none"/>
        </w:rPr>
        <w:t>授权书</w:t>
      </w:r>
      <w:r>
        <w:rPr>
          <w:color w:val="auto"/>
          <w:highlight w:val="none"/>
        </w:rPr>
        <w:tab/>
      </w:r>
      <w:r>
        <w:rPr>
          <w:color w:val="auto"/>
          <w:highlight w:val="none"/>
        </w:rPr>
        <w:fldChar w:fldCharType="begin"/>
      </w:r>
      <w:r>
        <w:rPr>
          <w:color w:val="auto"/>
          <w:highlight w:val="none"/>
        </w:rPr>
        <w:instrText xml:space="preserve"> PAGEREF _Toc13866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_Toc3089 </w:instrText>
      </w:r>
      <w:r>
        <w:rPr>
          <w:color w:val="auto"/>
          <w:highlight w:val="none"/>
        </w:rPr>
        <w:fldChar w:fldCharType="separate"/>
      </w:r>
      <w:r>
        <w:rPr>
          <w:rFonts w:hint="eastAsia"/>
          <w:color w:val="auto"/>
          <w:highlight w:val="none"/>
          <w:lang w:val="en-US" w:eastAsia="zh-CN"/>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_Toc3089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_Toc23333 </w:instrText>
      </w:r>
      <w:r>
        <w:rPr>
          <w:color w:val="auto"/>
          <w:highlight w:val="none"/>
        </w:rPr>
        <w:fldChar w:fldCharType="separate"/>
      </w:r>
      <w:r>
        <w:rPr>
          <w:rFonts w:hint="eastAsia"/>
          <w:color w:val="auto"/>
          <w:highlight w:val="none"/>
          <w:lang w:val="en-US" w:eastAsia="zh-CN"/>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_Toc23333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_Toc13760 </w:instrText>
      </w:r>
      <w:r>
        <w:rPr>
          <w:color w:val="auto"/>
          <w:highlight w:val="none"/>
        </w:rPr>
        <w:fldChar w:fldCharType="separate"/>
      </w:r>
      <w:r>
        <w:rPr>
          <w:rFonts w:hint="eastAsia"/>
          <w:color w:val="auto"/>
          <w:highlight w:val="none"/>
          <w:lang w:val="en-US" w:eastAsia="zh-CN"/>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_Toc13760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_Toc24541 </w:instrText>
      </w:r>
      <w:r>
        <w:rPr>
          <w:color w:val="auto"/>
          <w:highlight w:val="none"/>
        </w:rPr>
        <w:fldChar w:fldCharType="separate"/>
      </w:r>
      <w:r>
        <w:rPr>
          <w:rFonts w:hint="eastAsia"/>
          <w:color w:val="auto"/>
          <w:highlight w:val="none"/>
          <w:lang w:val="en-US" w:eastAsia="zh-CN"/>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_Toc24541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_Toc16233 </w:instrText>
      </w:r>
      <w:r>
        <w:rPr>
          <w:color w:val="auto"/>
          <w:highlight w:val="none"/>
        </w:rPr>
        <w:fldChar w:fldCharType="separate"/>
      </w:r>
      <w:r>
        <w:rPr>
          <w:rFonts w:hint="eastAsia"/>
          <w:color w:val="auto"/>
          <w:highlight w:val="none"/>
          <w:lang w:val="en-US" w:eastAsia="zh-CN"/>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_Toc16233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_Toc9229 </w:instrText>
      </w:r>
      <w:r>
        <w:rPr>
          <w:color w:val="auto"/>
          <w:highlight w:val="none"/>
        </w:rPr>
        <w:fldChar w:fldCharType="separate"/>
      </w:r>
      <w:r>
        <w:rPr>
          <w:rFonts w:hint="eastAsia"/>
          <w:color w:val="auto"/>
          <w:highlight w:val="none"/>
          <w:lang w:val="en-US" w:eastAsia="zh-CN"/>
        </w:rPr>
        <w:t>六、 投标人参加政府采购活动前三年内，在经营活动中没有重大违法记录的证明材料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_Toc9229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_Toc21880 </w:instrText>
      </w:r>
      <w:r>
        <w:rPr>
          <w:color w:val="auto"/>
          <w:highlight w:val="none"/>
        </w:rPr>
        <w:fldChar w:fldCharType="separate"/>
      </w:r>
      <w:r>
        <w:rPr>
          <w:rFonts w:hint="eastAsia"/>
          <w:color w:val="auto"/>
          <w:highlight w:val="none"/>
          <w:lang w:val="zh-CN" w:eastAsia="zh-CN"/>
        </w:rPr>
        <w:t xml:space="preserve">七、 </w:t>
      </w:r>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的承诺函</w:t>
      </w:r>
      <w:r>
        <w:rPr>
          <w:color w:val="auto"/>
          <w:highlight w:val="none"/>
        </w:rPr>
        <w:tab/>
      </w:r>
      <w:r>
        <w:rPr>
          <w:color w:val="auto"/>
          <w:highlight w:val="none"/>
        </w:rPr>
        <w:fldChar w:fldCharType="begin"/>
      </w:r>
      <w:r>
        <w:rPr>
          <w:color w:val="auto"/>
          <w:highlight w:val="none"/>
        </w:rPr>
        <w:instrText xml:space="preserve"> PAGEREF _Toc21880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_Toc10148 </w:instrText>
      </w:r>
      <w:r>
        <w:rPr>
          <w:color w:val="auto"/>
          <w:highlight w:val="none"/>
        </w:rPr>
        <w:fldChar w:fldCharType="separate"/>
      </w:r>
      <w:r>
        <w:rPr>
          <w:rFonts w:hint="eastAsia"/>
          <w:color w:val="auto"/>
          <w:highlight w:val="none"/>
          <w:lang w:val="en-US" w:eastAsia="zh-CN"/>
        </w:rPr>
        <w:t>八、 根据采购项目的特殊要求，供应商提供具有特定条件的证明材料</w:t>
      </w:r>
      <w:r>
        <w:rPr>
          <w:color w:val="auto"/>
          <w:highlight w:val="none"/>
        </w:rPr>
        <w:tab/>
      </w:r>
      <w:r>
        <w:rPr>
          <w:color w:val="auto"/>
          <w:highlight w:val="none"/>
        </w:rPr>
        <w:fldChar w:fldCharType="begin"/>
      </w:r>
      <w:r>
        <w:rPr>
          <w:color w:val="auto"/>
          <w:highlight w:val="none"/>
        </w:rPr>
        <w:instrText xml:space="preserve"> PAGEREF _Toc10148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_Toc12425 </w:instrText>
      </w:r>
      <w:r>
        <w:rPr>
          <w:color w:val="auto"/>
          <w:highlight w:val="none"/>
        </w:rPr>
        <w:fldChar w:fldCharType="separate"/>
      </w:r>
      <w:r>
        <w:rPr>
          <w:rFonts w:hint="eastAsia"/>
          <w:color w:val="auto"/>
          <w:highlight w:val="none"/>
          <w:lang w:val="en-US" w:eastAsia="zh-CN"/>
        </w:rPr>
        <w:t>九、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_Toc12425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_Toc16269 </w:instrText>
      </w:r>
      <w:r>
        <w:rPr>
          <w:color w:val="auto"/>
          <w:highlight w:val="none"/>
        </w:rPr>
        <w:fldChar w:fldCharType="separate"/>
      </w:r>
      <w:r>
        <w:rPr>
          <w:rFonts w:hint="eastAsia"/>
          <w:color w:val="auto"/>
          <w:szCs w:val="32"/>
          <w:highlight w:val="none"/>
        </w:rPr>
        <w:t>第</w:t>
      </w:r>
      <w:r>
        <w:rPr>
          <w:rFonts w:hint="eastAsia"/>
          <w:color w:val="auto"/>
          <w:szCs w:val="32"/>
          <w:highlight w:val="none"/>
          <w:lang w:val="en-US" w:eastAsia="zh-CN"/>
        </w:rPr>
        <w:t>二</w:t>
      </w:r>
      <w:r>
        <w:rPr>
          <w:rFonts w:hint="eastAsia"/>
          <w:color w:val="auto"/>
          <w:szCs w:val="32"/>
          <w:highlight w:val="none"/>
        </w:rPr>
        <w:t>部分 其他</w:t>
      </w:r>
      <w:r>
        <w:rPr>
          <w:rFonts w:hint="eastAsia"/>
          <w:color w:val="auto"/>
          <w:szCs w:val="32"/>
          <w:highlight w:val="none"/>
          <w:lang w:val="en-US" w:eastAsia="zh-CN"/>
        </w:rPr>
        <w:t>投标</w:t>
      </w:r>
      <w:r>
        <w:rPr>
          <w:rFonts w:hint="eastAsia"/>
          <w:color w:val="auto"/>
          <w:szCs w:val="32"/>
          <w:highlight w:val="none"/>
        </w:rPr>
        <w:t>文件(格式)</w:t>
      </w:r>
      <w:r>
        <w:rPr>
          <w:color w:val="auto"/>
          <w:highlight w:val="none"/>
        </w:rPr>
        <w:tab/>
      </w:r>
      <w:r>
        <w:rPr>
          <w:color w:val="auto"/>
          <w:highlight w:val="none"/>
        </w:rPr>
        <w:fldChar w:fldCharType="begin"/>
      </w:r>
      <w:r>
        <w:rPr>
          <w:color w:val="auto"/>
          <w:highlight w:val="none"/>
        </w:rPr>
        <w:instrText xml:space="preserve"> PAGEREF _Toc16269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_Toc23956 </w:instrText>
      </w:r>
      <w:r>
        <w:rPr>
          <w:color w:val="auto"/>
          <w:highlight w:val="none"/>
        </w:rPr>
        <w:fldChar w:fldCharType="separate"/>
      </w:r>
      <w:r>
        <w:rPr>
          <w:rFonts w:hint="eastAsia"/>
          <w:color w:val="auto"/>
          <w:highlight w:val="none"/>
          <w:lang w:val="en-US" w:eastAsia="zh-CN"/>
        </w:rPr>
        <w:t>一、 投标函</w:t>
      </w:r>
      <w:r>
        <w:rPr>
          <w:color w:val="auto"/>
          <w:highlight w:val="none"/>
        </w:rPr>
        <w:tab/>
      </w:r>
      <w:r>
        <w:rPr>
          <w:color w:val="auto"/>
          <w:highlight w:val="none"/>
        </w:rPr>
        <w:fldChar w:fldCharType="begin"/>
      </w:r>
      <w:r>
        <w:rPr>
          <w:color w:val="auto"/>
          <w:highlight w:val="none"/>
        </w:rPr>
        <w:instrText xml:space="preserve"> PAGEREF _Toc23956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color w:val="auto"/>
          <w:highlight w:val="none"/>
          <w:lang w:val="en-US" w:eastAsia="zh-CN"/>
        </w:rPr>
        <w:t>二、 实质性要求承诺</w:t>
      </w:r>
      <w:r>
        <w:rPr>
          <w:color w:val="auto"/>
          <w:highlight w:val="none"/>
        </w:rPr>
        <w:tab/>
      </w:r>
      <w:r>
        <w:rPr>
          <w:color w:val="auto"/>
          <w:highlight w:val="none"/>
        </w:rPr>
        <w:fldChar w:fldCharType="begin"/>
      </w:r>
      <w:r>
        <w:rPr>
          <w:color w:val="auto"/>
          <w:highlight w:val="none"/>
        </w:rPr>
        <w:instrText xml:space="preserve"> PAGEREF _Toc2486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_Toc31836 </w:instrText>
      </w:r>
      <w:r>
        <w:rPr>
          <w:color w:val="auto"/>
          <w:highlight w:val="none"/>
        </w:rPr>
        <w:fldChar w:fldCharType="separate"/>
      </w:r>
      <w:r>
        <w:rPr>
          <w:rFonts w:hint="eastAsia"/>
          <w:color w:val="auto"/>
          <w:highlight w:val="none"/>
          <w:lang w:val="en-US" w:eastAsia="zh-CN"/>
        </w:rPr>
        <w:t>三、 投标人基本情况表</w:t>
      </w:r>
      <w:r>
        <w:rPr>
          <w:color w:val="auto"/>
          <w:highlight w:val="none"/>
        </w:rPr>
        <w:tab/>
      </w:r>
      <w:r>
        <w:rPr>
          <w:color w:val="auto"/>
          <w:highlight w:val="none"/>
        </w:rPr>
        <w:fldChar w:fldCharType="begin"/>
      </w:r>
      <w:r>
        <w:rPr>
          <w:color w:val="auto"/>
          <w:highlight w:val="none"/>
        </w:rPr>
        <w:instrText xml:space="preserve"> PAGEREF _Toc31836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_Toc25142 </w:instrText>
      </w:r>
      <w:r>
        <w:rPr>
          <w:color w:val="auto"/>
          <w:highlight w:val="none"/>
        </w:rPr>
        <w:fldChar w:fldCharType="separate"/>
      </w:r>
      <w:r>
        <w:rPr>
          <w:rFonts w:hint="eastAsia"/>
          <w:color w:val="auto"/>
          <w:highlight w:val="none"/>
          <w:lang w:val="en-US" w:eastAsia="zh-CN"/>
        </w:rPr>
        <w:t>四、 开标一览表</w:t>
      </w:r>
      <w:r>
        <w:rPr>
          <w:color w:val="auto"/>
          <w:highlight w:val="none"/>
        </w:rPr>
        <w:tab/>
      </w:r>
      <w:r>
        <w:rPr>
          <w:color w:val="auto"/>
          <w:highlight w:val="none"/>
        </w:rPr>
        <w:fldChar w:fldCharType="begin"/>
      </w:r>
      <w:r>
        <w:rPr>
          <w:color w:val="auto"/>
          <w:highlight w:val="none"/>
        </w:rPr>
        <w:instrText xml:space="preserve"> PAGEREF _Toc25142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_Toc20084 </w:instrText>
      </w:r>
      <w:r>
        <w:rPr>
          <w:color w:val="auto"/>
          <w:highlight w:val="none"/>
        </w:rPr>
        <w:fldChar w:fldCharType="separate"/>
      </w:r>
      <w:r>
        <w:rPr>
          <w:rFonts w:hint="eastAsia"/>
          <w:color w:val="auto"/>
          <w:highlight w:val="none"/>
          <w:lang w:val="en-US" w:eastAsia="zh-CN"/>
        </w:rPr>
        <w:t>五、 商务应答表</w:t>
      </w:r>
      <w:r>
        <w:rPr>
          <w:color w:val="auto"/>
          <w:highlight w:val="none"/>
        </w:rPr>
        <w:tab/>
      </w:r>
      <w:r>
        <w:rPr>
          <w:color w:val="auto"/>
          <w:highlight w:val="none"/>
        </w:rPr>
        <w:fldChar w:fldCharType="begin"/>
      </w:r>
      <w:r>
        <w:rPr>
          <w:color w:val="auto"/>
          <w:highlight w:val="none"/>
        </w:rPr>
        <w:instrText xml:space="preserve"> PAGEREF _Toc20084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_Toc27334 </w:instrText>
      </w:r>
      <w:r>
        <w:rPr>
          <w:color w:val="auto"/>
          <w:highlight w:val="none"/>
        </w:rPr>
        <w:fldChar w:fldCharType="separate"/>
      </w:r>
      <w:r>
        <w:rPr>
          <w:rFonts w:hint="eastAsia"/>
          <w:color w:val="auto"/>
          <w:highlight w:val="none"/>
          <w:lang w:val="en-US" w:eastAsia="zh-CN"/>
        </w:rPr>
        <w:t>六、 服务应答表</w:t>
      </w:r>
      <w:r>
        <w:rPr>
          <w:color w:val="auto"/>
          <w:highlight w:val="none"/>
        </w:rPr>
        <w:tab/>
      </w:r>
      <w:r>
        <w:rPr>
          <w:color w:val="auto"/>
          <w:highlight w:val="none"/>
        </w:rPr>
        <w:fldChar w:fldCharType="begin"/>
      </w:r>
      <w:r>
        <w:rPr>
          <w:color w:val="auto"/>
          <w:highlight w:val="none"/>
        </w:rPr>
        <w:instrText xml:space="preserve"> PAGEREF _Toc27334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_Toc859 </w:instrText>
      </w:r>
      <w:r>
        <w:rPr>
          <w:color w:val="auto"/>
          <w:highlight w:val="none"/>
        </w:rPr>
        <w:fldChar w:fldCharType="separate"/>
      </w:r>
      <w:r>
        <w:rPr>
          <w:rFonts w:hint="eastAsia"/>
          <w:color w:val="auto"/>
          <w:highlight w:val="none"/>
          <w:lang w:val="en-US" w:eastAsia="zh-CN"/>
        </w:rPr>
        <w:t>七、 履约能力及相关证明</w:t>
      </w:r>
      <w:r>
        <w:rPr>
          <w:color w:val="auto"/>
          <w:highlight w:val="none"/>
        </w:rPr>
        <w:tab/>
      </w:r>
      <w:r>
        <w:rPr>
          <w:color w:val="auto"/>
          <w:highlight w:val="none"/>
        </w:rPr>
        <w:fldChar w:fldCharType="begin"/>
      </w:r>
      <w:r>
        <w:rPr>
          <w:color w:val="auto"/>
          <w:highlight w:val="none"/>
        </w:rPr>
        <w:instrText xml:space="preserve"> PAGEREF _Toc859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_Toc32493 </w:instrText>
      </w:r>
      <w:r>
        <w:rPr>
          <w:color w:val="auto"/>
          <w:highlight w:val="none"/>
        </w:rPr>
        <w:fldChar w:fldCharType="separate"/>
      </w:r>
      <w:r>
        <w:rPr>
          <w:rFonts w:hint="eastAsia"/>
          <w:color w:val="auto"/>
          <w:highlight w:val="none"/>
          <w:lang w:val="en-US" w:eastAsia="zh-CN"/>
        </w:rPr>
        <w:t>八、 投标人针对本项目人员配置情况表</w:t>
      </w:r>
      <w:r>
        <w:rPr>
          <w:color w:val="auto"/>
          <w:highlight w:val="none"/>
        </w:rPr>
        <w:tab/>
      </w:r>
      <w:r>
        <w:rPr>
          <w:color w:val="auto"/>
          <w:highlight w:val="none"/>
        </w:rPr>
        <w:fldChar w:fldCharType="begin"/>
      </w:r>
      <w:r>
        <w:rPr>
          <w:color w:val="auto"/>
          <w:highlight w:val="none"/>
        </w:rPr>
        <w:instrText xml:space="preserve"> PAGEREF _Toc32493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_Toc21112 </w:instrText>
      </w:r>
      <w:r>
        <w:rPr>
          <w:color w:val="auto"/>
          <w:highlight w:val="none"/>
        </w:rPr>
        <w:fldChar w:fldCharType="separate"/>
      </w:r>
      <w:r>
        <w:rPr>
          <w:rFonts w:hint="eastAsia"/>
          <w:color w:val="auto"/>
          <w:highlight w:val="none"/>
          <w:lang w:val="en-US" w:eastAsia="zh-CN"/>
        </w:rPr>
        <w:t xml:space="preserve">九、 </w:t>
      </w:r>
      <w:r>
        <w:rPr>
          <w:rFonts w:hint="eastAsia"/>
          <w:color w:val="auto"/>
          <w:highlight w:val="none"/>
        </w:rPr>
        <w:t>小微企业、监狱企业</w:t>
      </w:r>
      <w:r>
        <w:rPr>
          <w:rFonts w:hint="eastAsia"/>
          <w:color w:val="auto"/>
          <w:highlight w:val="none"/>
          <w:lang w:eastAsia="zh-CN"/>
        </w:rPr>
        <w:t>、</w:t>
      </w:r>
      <w:r>
        <w:rPr>
          <w:rFonts w:hint="eastAsia"/>
          <w:color w:val="auto"/>
          <w:highlight w:val="none"/>
          <w:lang w:val="en-US" w:eastAsia="zh-CN"/>
        </w:rPr>
        <w:t>残疾人福利性单位</w:t>
      </w:r>
      <w:r>
        <w:rPr>
          <w:rFonts w:hint="eastAsia"/>
          <w:color w:val="auto"/>
          <w:highlight w:val="none"/>
        </w:rPr>
        <w:t>价格扣除</w:t>
      </w:r>
      <w:r>
        <w:rPr>
          <w:color w:val="auto"/>
          <w:highlight w:val="none"/>
        </w:rPr>
        <w:tab/>
      </w:r>
      <w:r>
        <w:rPr>
          <w:color w:val="auto"/>
          <w:highlight w:val="none"/>
        </w:rPr>
        <w:fldChar w:fldCharType="begin"/>
      </w:r>
      <w:r>
        <w:rPr>
          <w:color w:val="auto"/>
          <w:highlight w:val="none"/>
        </w:rPr>
        <w:instrText xml:space="preserve"> PAGEREF _Toc21112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_Toc646 </w:instrText>
      </w:r>
      <w:r>
        <w:rPr>
          <w:color w:val="auto"/>
          <w:highlight w:val="none"/>
        </w:rPr>
        <w:fldChar w:fldCharType="separate"/>
      </w:r>
      <w:r>
        <w:rPr>
          <w:rFonts w:hint="eastAsia"/>
          <w:color w:val="auto"/>
          <w:highlight w:val="none"/>
          <w:lang w:val="en-US" w:eastAsia="zh-CN"/>
        </w:rPr>
        <w:t>(一)中小企业声明函(如涉及)</w:t>
      </w:r>
      <w:r>
        <w:rPr>
          <w:color w:val="auto"/>
          <w:highlight w:val="none"/>
        </w:rPr>
        <w:tab/>
      </w:r>
      <w:r>
        <w:rPr>
          <w:color w:val="auto"/>
          <w:highlight w:val="none"/>
        </w:rPr>
        <w:fldChar w:fldCharType="begin"/>
      </w:r>
      <w:r>
        <w:rPr>
          <w:color w:val="auto"/>
          <w:highlight w:val="none"/>
        </w:rPr>
        <w:instrText xml:space="preserve"> PAGEREF _Toc646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_Toc14848 </w:instrText>
      </w:r>
      <w:r>
        <w:rPr>
          <w:color w:val="auto"/>
          <w:highlight w:val="none"/>
        </w:rPr>
        <w:fldChar w:fldCharType="separate"/>
      </w:r>
      <w:r>
        <w:rPr>
          <w:rFonts w:hint="eastAsia"/>
          <w:color w:val="auto"/>
          <w:highlight w:val="none"/>
          <w:lang w:val="en-US" w:eastAsia="zh-CN"/>
        </w:rPr>
        <w:t>(二)</w:t>
      </w:r>
      <w:r>
        <w:rPr>
          <w:rFonts w:hint="eastAsia" w:ascii="宋体" w:hAnsi="宋体" w:eastAsia="宋体"/>
          <w:color w:val="auto"/>
          <w:highlight w:val="none"/>
          <w:lang w:val="en-US" w:eastAsia="zh-CN"/>
        </w:rPr>
        <w:t>监狱企业相关证明材料(如涉及)</w:t>
      </w:r>
      <w:r>
        <w:rPr>
          <w:color w:val="auto"/>
          <w:highlight w:val="none"/>
        </w:rPr>
        <w:tab/>
      </w:r>
      <w:r>
        <w:rPr>
          <w:color w:val="auto"/>
          <w:highlight w:val="none"/>
        </w:rPr>
        <w:fldChar w:fldCharType="begin"/>
      </w:r>
      <w:r>
        <w:rPr>
          <w:color w:val="auto"/>
          <w:highlight w:val="none"/>
        </w:rPr>
        <w:instrText xml:space="preserve"> PAGEREF _Toc14848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_Toc9616 </w:instrText>
      </w:r>
      <w:r>
        <w:rPr>
          <w:color w:val="auto"/>
          <w:highlight w:val="none"/>
        </w:rPr>
        <w:fldChar w:fldCharType="separate"/>
      </w:r>
      <w:r>
        <w:rPr>
          <w:rFonts w:hint="eastAsia"/>
          <w:color w:val="auto"/>
          <w:highlight w:val="none"/>
          <w:lang w:val="en-US" w:eastAsia="zh-CN"/>
        </w:rPr>
        <w:t>(三)</w:t>
      </w:r>
      <w:r>
        <w:rPr>
          <w:rFonts w:hint="eastAsia" w:ascii="宋体" w:hAnsi="宋体" w:eastAsia="宋体"/>
          <w:color w:val="auto"/>
          <w:highlight w:val="none"/>
          <w:lang w:val="en-US" w:eastAsia="zh-CN"/>
        </w:rPr>
        <w:t>残疾人福利性单位声明函(如涉及)</w:t>
      </w:r>
      <w:r>
        <w:rPr>
          <w:color w:val="auto"/>
          <w:highlight w:val="none"/>
        </w:rPr>
        <w:tab/>
      </w:r>
      <w:r>
        <w:rPr>
          <w:color w:val="auto"/>
          <w:highlight w:val="none"/>
        </w:rPr>
        <w:fldChar w:fldCharType="begin"/>
      </w:r>
      <w:r>
        <w:rPr>
          <w:color w:val="auto"/>
          <w:highlight w:val="none"/>
        </w:rPr>
        <w:instrText xml:space="preserve"> PAGEREF _Toc9616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_Toc12818 </w:instrText>
      </w:r>
      <w:r>
        <w:rPr>
          <w:color w:val="auto"/>
          <w:highlight w:val="none"/>
        </w:rPr>
        <w:fldChar w:fldCharType="separate"/>
      </w:r>
      <w:r>
        <w:rPr>
          <w:rFonts w:hint="eastAsia"/>
          <w:color w:val="auto"/>
          <w:highlight w:val="none"/>
          <w:lang w:val="en-US" w:eastAsia="zh-CN"/>
        </w:rPr>
        <w:t>十、 服务方案</w:t>
      </w:r>
      <w:r>
        <w:rPr>
          <w:color w:val="auto"/>
          <w:highlight w:val="none"/>
        </w:rPr>
        <w:tab/>
      </w:r>
      <w:r>
        <w:rPr>
          <w:color w:val="auto"/>
          <w:highlight w:val="none"/>
        </w:rPr>
        <w:fldChar w:fldCharType="begin"/>
      </w:r>
      <w:r>
        <w:rPr>
          <w:color w:val="auto"/>
          <w:highlight w:val="none"/>
        </w:rPr>
        <w:instrText xml:space="preserve"> PAGEREF _Toc12818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_Toc20330 </w:instrText>
      </w:r>
      <w:r>
        <w:rPr>
          <w:color w:val="auto"/>
          <w:highlight w:val="none"/>
        </w:rPr>
        <w:fldChar w:fldCharType="separate"/>
      </w:r>
      <w:r>
        <w:rPr>
          <w:rFonts w:hint="eastAsia"/>
          <w:color w:val="auto"/>
          <w:highlight w:val="none"/>
          <w:lang w:val="en-US" w:eastAsia="zh-CN"/>
        </w:rPr>
        <w:t>十一、 招标代理服务费承诺函</w:t>
      </w:r>
      <w:r>
        <w:rPr>
          <w:color w:val="auto"/>
          <w:highlight w:val="none"/>
        </w:rPr>
        <w:tab/>
      </w:r>
      <w:r>
        <w:rPr>
          <w:color w:val="auto"/>
          <w:highlight w:val="none"/>
        </w:rPr>
        <w:fldChar w:fldCharType="begin"/>
      </w:r>
      <w:r>
        <w:rPr>
          <w:color w:val="auto"/>
          <w:highlight w:val="none"/>
        </w:rPr>
        <w:instrText xml:space="preserve"> PAGEREF _Toc20330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_Toc23934 </w:instrText>
      </w:r>
      <w:r>
        <w:rPr>
          <w:color w:val="auto"/>
          <w:highlight w:val="none"/>
        </w:rPr>
        <w:fldChar w:fldCharType="separate"/>
      </w:r>
      <w:r>
        <w:rPr>
          <w:rFonts w:hint="eastAsia" w:ascii="宋体" w:hAnsi="宋体" w:eastAsia="宋体" w:cs="宋体"/>
          <w:color w:val="auto"/>
          <w:w w:val="95"/>
          <w:highlight w:val="none"/>
          <w:lang w:val="en-US" w:eastAsia="zh-CN"/>
        </w:rPr>
        <w:t xml:space="preserve">第四章 </w:t>
      </w:r>
      <w:r>
        <w:rPr>
          <w:rFonts w:hint="eastAsia"/>
          <w:color w:val="auto"/>
          <w:w w:val="95"/>
          <w:highlight w:val="none"/>
          <w:lang w:val="en-US" w:eastAsia="zh-CN"/>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_Toc23934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_Toc13533 </w:instrText>
      </w:r>
      <w:r>
        <w:rPr>
          <w:color w:val="auto"/>
          <w:highlight w:val="none"/>
        </w:rPr>
        <w:fldChar w:fldCharType="separate"/>
      </w:r>
      <w:r>
        <w:rPr>
          <w:rFonts w:hint="eastAsia" w:ascii="宋体" w:hAnsi="宋体" w:eastAsia="宋体" w:cs="宋体"/>
          <w:color w:val="auto"/>
          <w:highlight w:val="none"/>
          <w:lang w:val="zh-CN"/>
        </w:rPr>
        <w:t xml:space="preserve">一、 </w:t>
      </w:r>
      <w:r>
        <w:rPr>
          <w:rFonts w:hint="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_Toc13533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_Toc25487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_Toc25487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_Toc5239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其他类似效力要求</w:t>
      </w:r>
      <w:r>
        <w:rPr>
          <w:color w:val="auto"/>
          <w:highlight w:val="none"/>
        </w:rPr>
        <w:tab/>
      </w:r>
      <w:r>
        <w:rPr>
          <w:color w:val="auto"/>
          <w:highlight w:val="none"/>
        </w:rPr>
        <w:fldChar w:fldCharType="begin"/>
      </w:r>
      <w:r>
        <w:rPr>
          <w:color w:val="auto"/>
          <w:highlight w:val="none"/>
        </w:rPr>
        <w:instrText xml:space="preserve"> PAGEREF _Toc5239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_Toc15258 </w:instrText>
      </w:r>
      <w:r>
        <w:rPr>
          <w:color w:val="auto"/>
          <w:highlight w:val="none"/>
        </w:rPr>
        <w:fldChar w:fldCharType="separate"/>
      </w:r>
      <w:r>
        <w:rPr>
          <w:rFonts w:hint="eastAsia" w:ascii="宋体" w:hAnsi="宋体" w:eastAsia="宋体" w:cs="宋体"/>
          <w:color w:val="auto"/>
          <w:highlight w:val="none"/>
          <w:lang w:val="en-US" w:eastAsia="zh-CN"/>
        </w:rPr>
        <w:t xml:space="preserve">第五章 </w:t>
      </w:r>
      <w:r>
        <w:rPr>
          <w:rFonts w:hint="eastAsia"/>
          <w:color w:val="auto"/>
          <w:highlight w:val="none"/>
          <w:lang w:val="en-US" w:eastAsia="zh-CN"/>
        </w:rPr>
        <w:t>资格性审查内容</w:t>
      </w:r>
      <w:r>
        <w:rPr>
          <w:color w:val="auto"/>
          <w:highlight w:val="none"/>
        </w:rPr>
        <w:tab/>
      </w:r>
      <w:r>
        <w:rPr>
          <w:color w:val="auto"/>
          <w:highlight w:val="none"/>
        </w:rPr>
        <w:fldChar w:fldCharType="begin"/>
      </w:r>
      <w:r>
        <w:rPr>
          <w:color w:val="auto"/>
          <w:highlight w:val="none"/>
        </w:rPr>
        <w:instrText xml:space="preserve"> PAGEREF _Toc15258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_Toc9550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_Toc9550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_Toc25801 </w:instrText>
      </w:r>
      <w:r>
        <w:rPr>
          <w:color w:val="auto"/>
          <w:highlight w:val="none"/>
        </w:rPr>
        <w:fldChar w:fldCharType="separate"/>
      </w:r>
      <w:r>
        <w:rPr>
          <w:rFonts w:hint="eastAsia" w:ascii="宋体" w:hAnsi="宋体" w:eastAsia="宋体" w:cs="宋体"/>
          <w:color w:val="auto"/>
          <w:highlight w:val="none"/>
          <w:lang w:eastAsia="zh-CN"/>
        </w:rPr>
        <w:t xml:space="preserve">二、 </w:t>
      </w:r>
      <w:r>
        <w:rPr>
          <w:rFonts w:hint="eastAsia"/>
          <w:color w:val="auto"/>
          <w:highlight w:val="none"/>
          <w:lang w:eastAsia="zh-CN"/>
        </w:rPr>
        <w:t>审查程序</w:t>
      </w:r>
      <w:r>
        <w:rPr>
          <w:color w:val="auto"/>
          <w:highlight w:val="none"/>
        </w:rPr>
        <w:tab/>
      </w:r>
      <w:r>
        <w:rPr>
          <w:color w:val="auto"/>
          <w:highlight w:val="none"/>
        </w:rPr>
        <w:fldChar w:fldCharType="begin"/>
      </w:r>
      <w:r>
        <w:rPr>
          <w:color w:val="auto"/>
          <w:highlight w:val="none"/>
        </w:rPr>
        <w:instrText xml:space="preserve"> PAGEREF _Toc25801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_Toc8898 </w:instrText>
      </w:r>
      <w:r>
        <w:rPr>
          <w:color w:val="auto"/>
          <w:highlight w:val="none"/>
        </w:rPr>
        <w:fldChar w:fldCharType="separate"/>
      </w:r>
      <w:r>
        <w:rPr>
          <w:rFonts w:hint="eastAsia" w:ascii="宋体" w:hAnsi="宋体" w:eastAsia="宋体" w:cs="宋体"/>
          <w:color w:val="auto"/>
          <w:highlight w:val="none"/>
        </w:rPr>
        <w:t xml:space="preserve">第六章 </w:t>
      </w:r>
      <w:r>
        <w:rPr>
          <w:rFonts w:hint="eastAsia"/>
          <w:color w:val="auto"/>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_Toc8898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_Toc23813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lang w:val="en-US" w:eastAsia="zh-CN"/>
        </w:rPr>
        <w:t>项目概况</w:t>
      </w:r>
      <w:r>
        <w:rPr>
          <w:color w:val="auto"/>
          <w:highlight w:val="none"/>
        </w:rPr>
        <w:tab/>
      </w:r>
      <w:r>
        <w:rPr>
          <w:color w:val="auto"/>
          <w:highlight w:val="none"/>
        </w:rPr>
        <w:fldChar w:fldCharType="begin"/>
      </w:r>
      <w:r>
        <w:rPr>
          <w:color w:val="auto"/>
          <w:highlight w:val="none"/>
        </w:rPr>
        <w:instrText xml:space="preserve"> PAGEREF _Toc23813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_Toc21862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ascii="宋体" w:hAnsi="宋体" w:eastAsia="宋体" w:cs="宋体"/>
          <w:color w:val="auto"/>
          <w:highlight w:val="none"/>
          <w:lang w:val="en-US" w:eastAsia="zh-CN"/>
        </w:rPr>
        <w:t>体检价格测算表</w:t>
      </w:r>
      <w:r>
        <w:rPr>
          <w:color w:val="auto"/>
          <w:highlight w:val="none"/>
        </w:rPr>
        <w:tab/>
      </w:r>
      <w:r>
        <w:rPr>
          <w:color w:val="auto"/>
          <w:highlight w:val="none"/>
        </w:rPr>
        <w:fldChar w:fldCharType="begin"/>
      </w:r>
      <w:r>
        <w:rPr>
          <w:color w:val="auto"/>
          <w:highlight w:val="none"/>
        </w:rPr>
        <w:instrText xml:space="preserve"> PAGEREF _Toc21862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_Toc11192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服务内容及要求</w:t>
      </w:r>
      <w:r>
        <w:rPr>
          <w:color w:val="auto"/>
          <w:highlight w:val="none"/>
        </w:rPr>
        <w:tab/>
      </w:r>
      <w:r>
        <w:rPr>
          <w:color w:val="auto"/>
          <w:highlight w:val="none"/>
        </w:rPr>
        <w:fldChar w:fldCharType="begin"/>
      </w:r>
      <w:r>
        <w:rPr>
          <w:color w:val="auto"/>
          <w:highlight w:val="none"/>
        </w:rPr>
        <w:instrText xml:space="preserve"> PAGEREF _Toc11192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_Toc2958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ascii="宋体" w:hAnsi="宋体" w:cs="宋体"/>
          <w:color w:val="auto"/>
          <w:szCs w:val="24"/>
          <w:highlight w:val="none"/>
        </w:rPr>
        <w:t>★</w:t>
      </w:r>
      <w:r>
        <w:rPr>
          <w:rFonts w:hint="eastAsia"/>
          <w:color w:val="auto"/>
          <w:highlight w:val="none"/>
          <w:lang w:val="en-US" w:eastAsia="zh-CN"/>
        </w:rPr>
        <w:t>商务要求</w:t>
      </w:r>
      <w:r>
        <w:rPr>
          <w:color w:val="auto"/>
          <w:highlight w:val="none"/>
        </w:rPr>
        <w:tab/>
      </w:r>
      <w:r>
        <w:rPr>
          <w:color w:val="auto"/>
          <w:highlight w:val="none"/>
        </w:rPr>
        <w:fldChar w:fldCharType="begin"/>
      </w:r>
      <w:r>
        <w:rPr>
          <w:color w:val="auto"/>
          <w:highlight w:val="none"/>
        </w:rPr>
        <w:instrText xml:space="preserve"> PAGEREF _Toc2958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_Toc8216 </w:instrText>
      </w:r>
      <w:r>
        <w:rPr>
          <w:color w:val="auto"/>
          <w:highlight w:val="none"/>
        </w:rPr>
        <w:fldChar w:fldCharType="separate"/>
      </w:r>
      <w:r>
        <w:rPr>
          <w:rFonts w:hint="eastAsia" w:ascii="宋体" w:hAnsi="宋体" w:eastAsia="宋体" w:cs="宋体"/>
          <w:color w:val="auto"/>
          <w:szCs w:val="24"/>
          <w:highlight w:val="none"/>
        </w:rPr>
        <w:t xml:space="preserve">五、 </w:t>
      </w:r>
      <w:r>
        <w:rPr>
          <w:rFonts w:hint="eastAsia" w:cs="宋体"/>
          <w:color w:val="auto"/>
          <w:szCs w:val="24"/>
          <w:highlight w:val="none"/>
          <w:lang w:val="en-US" w:eastAsia="zh-CN"/>
        </w:rPr>
        <w:t>履约保证金</w:t>
      </w:r>
      <w:r>
        <w:rPr>
          <w:color w:val="auto"/>
          <w:highlight w:val="none"/>
        </w:rPr>
        <w:tab/>
      </w:r>
      <w:r>
        <w:rPr>
          <w:color w:val="auto"/>
          <w:highlight w:val="none"/>
        </w:rPr>
        <w:fldChar w:fldCharType="begin"/>
      </w:r>
      <w:r>
        <w:rPr>
          <w:color w:val="auto"/>
          <w:highlight w:val="none"/>
        </w:rPr>
        <w:instrText xml:space="preserve"> PAGEREF _Toc8216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_Toc28938 </w:instrText>
      </w:r>
      <w:r>
        <w:rPr>
          <w:color w:val="auto"/>
          <w:highlight w:val="none"/>
        </w:rPr>
        <w:fldChar w:fldCharType="separate"/>
      </w:r>
      <w:r>
        <w:rPr>
          <w:rFonts w:hint="eastAsia" w:ascii="宋体" w:hAnsi="宋体" w:eastAsia="宋体" w:cs="宋体"/>
          <w:color w:val="auto"/>
          <w:kern w:val="2"/>
          <w:szCs w:val="24"/>
          <w:highlight w:val="none"/>
          <w:lang w:val="en-US" w:eastAsia="zh-CN" w:bidi="ar-SA"/>
        </w:rPr>
        <w:t xml:space="preserve">六、 </w:t>
      </w:r>
      <w:r>
        <w:rPr>
          <w:rFonts w:hint="eastAsia" w:ascii="宋体" w:hAnsi="宋体" w:eastAsia="宋体" w:cstheme="minorBidi"/>
          <w:color w:val="auto"/>
          <w:kern w:val="2"/>
          <w:szCs w:val="24"/>
          <w:highlight w:val="none"/>
          <w:lang w:val="en-US" w:eastAsia="zh-CN" w:bidi="ar-SA"/>
        </w:rPr>
        <w:t>履约要求</w:t>
      </w:r>
      <w:r>
        <w:rPr>
          <w:color w:val="auto"/>
          <w:highlight w:val="none"/>
        </w:rPr>
        <w:tab/>
      </w:r>
      <w:r>
        <w:rPr>
          <w:color w:val="auto"/>
          <w:highlight w:val="none"/>
        </w:rPr>
        <w:fldChar w:fldCharType="begin"/>
      </w:r>
      <w:r>
        <w:rPr>
          <w:color w:val="auto"/>
          <w:highlight w:val="none"/>
        </w:rPr>
        <w:instrText xml:space="preserve"> PAGEREF _Toc28938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_Toc4725 </w:instrText>
      </w:r>
      <w:r>
        <w:rPr>
          <w:color w:val="auto"/>
          <w:highlight w:val="none"/>
        </w:rPr>
        <w:fldChar w:fldCharType="separate"/>
      </w:r>
      <w:r>
        <w:rPr>
          <w:rFonts w:hint="eastAsia" w:ascii="宋体" w:hAnsi="宋体" w:eastAsia="宋体"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_Toc4725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_Toc29087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_Toc29087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_Toc18772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_Toc18772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_Toc25671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_Toc25671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_Toc26664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_Toc26664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_Toc28038 </w:instrText>
      </w:r>
      <w:r>
        <w:rPr>
          <w:color w:val="auto"/>
          <w:highlight w:val="none"/>
        </w:rPr>
        <w:fldChar w:fldCharType="separate"/>
      </w:r>
      <w:r>
        <w:rPr>
          <w:rFonts w:hint="eastAsia" w:ascii="宋体" w:hAnsi="宋体" w:eastAsia="宋体" w:cs="宋体"/>
          <w:color w:val="auto"/>
          <w:highlight w:val="none"/>
          <w:lang w:val="en-US" w:eastAsia="zh-CN"/>
        </w:rPr>
        <w:t xml:space="preserve">五、 </w:t>
      </w:r>
      <w:r>
        <w:rPr>
          <w:rFonts w:hint="eastAsia"/>
          <w:color w:val="auto"/>
          <w:highlight w:val="none"/>
          <w:lang w:val="en-US" w:eastAsia="zh-CN"/>
        </w:rPr>
        <w:t>复核</w:t>
      </w:r>
      <w:r>
        <w:rPr>
          <w:color w:val="auto"/>
          <w:highlight w:val="none"/>
        </w:rPr>
        <w:tab/>
      </w:r>
      <w:r>
        <w:rPr>
          <w:color w:val="auto"/>
          <w:highlight w:val="none"/>
        </w:rPr>
        <w:fldChar w:fldCharType="begin"/>
      </w:r>
      <w:r>
        <w:rPr>
          <w:color w:val="auto"/>
          <w:highlight w:val="none"/>
        </w:rPr>
        <w:instrText xml:space="preserve"> PAGEREF _Toc28038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_Toc15574 </w:instrText>
      </w:r>
      <w:r>
        <w:rPr>
          <w:color w:val="auto"/>
          <w:highlight w:val="none"/>
        </w:rPr>
        <w:fldChar w:fldCharType="separate"/>
      </w:r>
      <w:r>
        <w:rPr>
          <w:rFonts w:hint="eastAsia" w:ascii="宋体" w:hAnsi="宋体" w:eastAsia="宋体" w:cs="宋体"/>
          <w:color w:val="auto"/>
          <w:highlight w:val="none"/>
          <w:lang w:val="en-US" w:eastAsia="zh-CN"/>
        </w:rPr>
        <w:t xml:space="preserve">六、 </w:t>
      </w:r>
      <w:r>
        <w:rPr>
          <w:rFonts w:hint="eastAsia"/>
          <w:color w:val="auto"/>
          <w:highlight w:val="none"/>
          <w:lang w:val="en-US" w:eastAsia="zh-CN"/>
        </w:rPr>
        <w:t>推荐中标候选供应商</w:t>
      </w:r>
      <w:r>
        <w:rPr>
          <w:color w:val="auto"/>
          <w:highlight w:val="none"/>
        </w:rPr>
        <w:tab/>
      </w:r>
      <w:r>
        <w:rPr>
          <w:color w:val="auto"/>
          <w:highlight w:val="none"/>
        </w:rPr>
        <w:fldChar w:fldCharType="begin"/>
      </w:r>
      <w:r>
        <w:rPr>
          <w:color w:val="auto"/>
          <w:highlight w:val="none"/>
        </w:rPr>
        <w:instrText xml:space="preserve"> PAGEREF _Toc15574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_Toc14679 </w:instrText>
      </w:r>
      <w:r>
        <w:rPr>
          <w:color w:val="auto"/>
          <w:highlight w:val="none"/>
        </w:rPr>
        <w:fldChar w:fldCharType="separate"/>
      </w:r>
      <w:r>
        <w:rPr>
          <w:rFonts w:hint="eastAsia" w:ascii="宋体" w:hAnsi="宋体" w:eastAsia="宋体" w:cs="宋体"/>
          <w:color w:val="auto"/>
          <w:highlight w:val="none"/>
          <w:lang w:val="en-US" w:eastAsia="zh-CN"/>
        </w:rPr>
        <w:t xml:space="preserve">七、 </w:t>
      </w:r>
      <w:r>
        <w:rPr>
          <w:rFonts w:hint="eastAsia"/>
          <w:color w:val="auto"/>
          <w:highlight w:val="none"/>
          <w:lang w:val="en-US" w:eastAsia="zh-CN"/>
        </w:rPr>
        <w:t>出具评标报告</w:t>
      </w:r>
      <w:r>
        <w:rPr>
          <w:color w:val="auto"/>
          <w:highlight w:val="none"/>
        </w:rPr>
        <w:tab/>
      </w:r>
      <w:r>
        <w:rPr>
          <w:color w:val="auto"/>
          <w:highlight w:val="none"/>
        </w:rPr>
        <w:fldChar w:fldCharType="begin"/>
      </w:r>
      <w:r>
        <w:rPr>
          <w:color w:val="auto"/>
          <w:highlight w:val="none"/>
        </w:rPr>
        <w:instrText xml:space="preserve"> PAGEREF _Toc14679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_Toc10867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_Toc10867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_Toc29046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_Toc29046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_Toc8922 </w:instrText>
      </w:r>
      <w:r>
        <w:rPr>
          <w:color w:val="auto"/>
          <w:highlight w:val="none"/>
        </w:rPr>
        <w:fldChar w:fldCharType="separate"/>
      </w:r>
      <w:r>
        <w:rPr>
          <w:rFonts w:hint="eastAsia" w:ascii="宋体" w:hAnsi="宋体" w:eastAsia="宋体" w:cs="宋体"/>
          <w:color w:val="auto"/>
          <w:highlight w:val="none"/>
        </w:rPr>
        <w:t xml:space="preserve">十、 </w:t>
      </w:r>
      <w:r>
        <w:rPr>
          <w:rFonts w:hint="eastAsia"/>
          <w:color w:val="auto"/>
          <w:highlight w:val="none"/>
          <w:lang w:eastAsia="zh-CN"/>
        </w:rPr>
        <w:t>评标专家</w:t>
      </w:r>
      <w:r>
        <w:rPr>
          <w:rFonts w:hint="eastAsia"/>
          <w:color w:val="auto"/>
          <w:highlight w:val="none"/>
        </w:rPr>
        <w:t>在政府采购活动中承担以下义务</w:t>
      </w:r>
      <w:r>
        <w:rPr>
          <w:color w:val="auto"/>
          <w:highlight w:val="none"/>
        </w:rPr>
        <w:tab/>
      </w:r>
      <w:r>
        <w:rPr>
          <w:color w:val="auto"/>
          <w:highlight w:val="none"/>
        </w:rPr>
        <w:fldChar w:fldCharType="begin"/>
      </w:r>
      <w:r>
        <w:rPr>
          <w:color w:val="auto"/>
          <w:highlight w:val="none"/>
        </w:rPr>
        <w:instrText xml:space="preserve"> PAGEREF _Toc8922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_Toc15127 </w:instrText>
      </w:r>
      <w:r>
        <w:rPr>
          <w:color w:val="auto"/>
          <w:highlight w:val="none"/>
        </w:rPr>
        <w:fldChar w:fldCharType="separate"/>
      </w:r>
      <w:r>
        <w:rPr>
          <w:rFonts w:hint="eastAsia" w:ascii="宋体" w:hAnsi="宋体" w:eastAsia="宋体" w:cs="宋体"/>
          <w:color w:val="auto"/>
          <w:highlight w:val="none"/>
        </w:rPr>
        <w:t xml:space="preserve">十一、 </w:t>
      </w:r>
      <w:r>
        <w:rPr>
          <w:rFonts w:hint="eastAsia"/>
          <w:color w:val="auto"/>
          <w:highlight w:val="none"/>
          <w:lang w:eastAsia="zh-CN"/>
        </w:rPr>
        <w:t>评标专家</w:t>
      </w:r>
      <w:r>
        <w:rPr>
          <w:rFonts w:hint="eastAsia"/>
          <w:color w:val="auto"/>
          <w:highlight w:val="none"/>
        </w:rPr>
        <w:t>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_Toc15127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_Toc28174 </w:instrText>
      </w:r>
      <w:r>
        <w:rPr>
          <w:color w:val="auto"/>
          <w:highlight w:val="none"/>
        </w:rPr>
        <w:fldChar w:fldCharType="separate"/>
      </w:r>
      <w:r>
        <w:rPr>
          <w:rFonts w:hint="eastAsia" w:ascii="宋体" w:hAnsi="宋体" w:eastAsia="宋体" w:cs="宋体"/>
          <w:color w:val="auto"/>
          <w:highlight w:val="none"/>
        </w:rPr>
        <w:t xml:space="preserve">十二、 </w:t>
      </w:r>
      <w:r>
        <w:rPr>
          <w:rFonts w:hint="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_Toc28174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_Toc8018 </w:instrText>
      </w:r>
      <w:r>
        <w:rPr>
          <w:color w:val="auto"/>
          <w:highlight w:val="none"/>
        </w:rPr>
        <w:fldChar w:fldCharType="separate"/>
      </w:r>
      <w:r>
        <w:rPr>
          <w:rFonts w:hint="eastAsia" w:ascii="宋体" w:hAnsi="宋体" w:eastAsia="宋体" w:cs="宋体"/>
          <w:color w:val="auto"/>
          <w:highlight w:val="none"/>
        </w:rPr>
        <w:t xml:space="preserve">十三、 </w:t>
      </w:r>
      <w:r>
        <w:rPr>
          <w:rFonts w:hint="eastAsia"/>
          <w:color w:val="auto"/>
          <w:highlight w:val="none"/>
          <w:lang w:val="en-US" w:eastAsia="zh-CN"/>
        </w:rPr>
        <w:t>评标委员会及其成员不得有下列违约情形</w:t>
      </w:r>
      <w:r>
        <w:rPr>
          <w:color w:val="auto"/>
          <w:highlight w:val="none"/>
        </w:rPr>
        <w:tab/>
      </w:r>
      <w:r>
        <w:rPr>
          <w:color w:val="auto"/>
          <w:highlight w:val="none"/>
        </w:rPr>
        <w:fldChar w:fldCharType="begin"/>
      </w:r>
      <w:r>
        <w:rPr>
          <w:color w:val="auto"/>
          <w:highlight w:val="none"/>
        </w:rPr>
        <w:instrText xml:space="preserve"> PAGEREF _Toc8018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_Toc13695 </w:instrText>
      </w:r>
      <w:r>
        <w:rPr>
          <w:color w:val="auto"/>
          <w:highlight w:val="none"/>
        </w:rPr>
        <w:fldChar w:fldCharType="separate"/>
      </w:r>
      <w:r>
        <w:rPr>
          <w:rFonts w:hint="eastAsia" w:ascii="宋体" w:hAnsi="宋体" w:eastAsia="宋体" w:cs="宋体"/>
          <w:color w:val="auto"/>
          <w:highlight w:val="none"/>
        </w:rPr>
        <w:t xml:space="preserve">第八章 </w:t>
      </w:r>
      <w:r>
        <w:rPr>
          <w:rFonts w:hint="eastAsia"/>
          <w:color w:val="auto"/>
          <w:highlight w:val="none"/>
        </w:rPr>
        <w:t>政府采购合同</w:t>
      </w:r>
      <w:r>
        <w:rPr>
          <w:color w:val="auto"/>
          <w:highlight w:val="none"/>
        </w:rPr>
        <w:tab/>
      </w:r>
      <w:r>
        <w:rPr>
          <w:color w:val="auto"/>
          <w:highlight w:val="none"/>
        </w:rPr>
        <w:fldChar w:fldCharType="begin"/>
      </w:r>
      <w:r>
        <w:rPr>
          <w:color w:val="auto"/>
          <w:highlight w:val="none"/>
        </w:rPr>
        <w:instrText xml:space="preserve"> PAGEREF _Toc13695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_Toc7100 </w:instrText>
      </w:r>
      <w:r>
        <w:rPr>
          <w:color w:val="auto"/>
          <w:highlight w:val="none"/>
        </w:rPr>
        <w:fldChar w:fldCharType="separate"/>
      </w:r>
      <w:r>
        <w:rPr>
          <w:rFonts w:hint="eastAsia" w:ascii="宋体" w:hAnsi="宋体" w:eastAsia="宋体" w:cs="宋体"/>
          <w:color w:val="auto"/>
          <w:highlight w:val="none"/>
          <w:lang w:val="en-US" w:eastAsia="zh-CN"/>
        </w:rPr>
        <w:t xml:space="preserve">第九章 </w:t>
      </w:r>
      <w:r>
        <w:rPr>
          <w:rFonts w:hint="eastAsia"/>
          <w:color w:val="auto"/>
          <w:highlight w:val="none"/>
          <w:lang w:val="en-US" w:eastAsia="zh-CN"/>
        </w:rPr>
        <w:t>附件</w:t>
      </w:r>
      <w:r>
        <w:rPr>
          <w:color w:val="auto"/>
          <w:highlight w:val="none"/>
        </w:rPr>
        <w:tab/>
      </w:r>
      <w:r>
        <w:rPr>
          <w:color w:val="auto"/>
          <w:highlight w:val="none"/>
        </w:rPr>
        <w:fldChar w:fldCharType="begin"/>
      </w:r>
      <w:r>
        <w:rPr>
          <w:color w:val="auto"/>
          <w:highlight w:val="none"/>
        </w:rPr>
        <w:instrText xml:space="preserve"> PAGEREF _Toc7100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_Toc15022 </w:instrText>
      </w:r>
      <w:r>
        <w:rPr>
          <w:color w:val="auto"/>
          <w:highlight w:val="none"/>
        </w:rPr>
        <w:fldChar w:fldCharType="separate"/>
      </w:r>
      <w:r>
        <w:rPr>
          <w:rFonts w:hint="eastAsia" w:ascii="宋体" w:hAnsi="宋体" w:eastAsia="宋体" w:cs="宋体"/>
          <w:bCs/>
          <w:color w:val="auto"/>
          <w:szCs w:val="24"/>
          <w:highlight w:val="none"/>
          <w:lang w:val="en-US" w:eastAsia="zh-CN"/>
        </w:rPr>
        <w:t>附件一：《2022年度信用评价服务效果调查表(供应商)》</w:t>
      </w:r>
      <w:r>
        <w:rPr>
          <w:color w:val="auto"/>
          <w:highlight w:val="none"/>
        </w:rPr>
        <w:tab/>
      </w:r>
      <w:r>
        <w:rPr>
          <w:color w:val="auto"/>
          <w:highlight w:val="none"/>
        </w:rPr>
        <w:fldChar w:fldCharType="begin"/>
      </w:r>
      <w:r>
        <w:rPr>
          <w:color w:val="auto"/>
          <w:highlight w:val="none"/>
        </w:rPr>
        <w:instrText xml:space="preserve"> PAGEREF _Toc15022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_Toc17674 </w:instrText>
      </w:r>
      <w:r>
        <w:rPr>
          <w:color w:val="auto"/>
          <w:highlight w:val="none"/>
        </w:rPr>
        <w:fldChar w:fldCharType="separate"/>
      </w:r>
      <w:r>
        <w:rPr>
          <w:rFonts w:hint="eastAsia" w:ascii="宋体" w:hAnsi="宋体" w:eastAsia="宋体" w:cs="宋体"/>
          <w:bCs/>
          <w:color w:val="auto"/>
          <w:szCs w:val="24"/>
          <w:highlight w:val="none"/>
          <w:lang w:val="en-US" w:eastAsia="zh-CN"/>
        </w:rPr>
        <w:t>附件二</w:t>
      </w:r>
      <w:r>
        <w:rPr>
          <w:rFonts w:hint="eastAsia" w:cs="宋体"/>
          <w:bCs/>
          <w:color w:val="auto"/>
          <w:szCs w:val="24"/>
          <w:highlight w:val="none"/>
          <w:lang w:val="en-US" w:eastAsia="zh-CN"/>
        </w:rPr>
        <w:t>： 统计上大中小微型企业划分标准</w:t>
      </w:r>
      <w:r>
        <w:rPr>
          <w:color w:val="auto"/>
          <w:highlight w:val="none"/>
        </w:rPr>
        <w:tab/>
      </w:r>
      <w:r>
        <w:rPr>
          <w:color w:val="auto"/>
          <w:highlight w:val="none"/>
        </w:rPr>
        <w:fldChar w:fldCharType="begin"/>
      </w:r>
      <w:r>
        <w:rPr>
          <w:color w:val="auto"/>
          <w:highlight w:val="none"/>
        </w:rPr>
        <w:instrText xml:space="preserve"> PAGEREF _Toc17674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_Toc7114 </w:instrText>
      </w:r>
      <w:r>
        <w:rPr>
          <w:color w:val="auto"/>
          <w:highlight w:val="none"/>
        </w:rPr>
        <w:fldChar w:fldCharType="separate"/>
      </w:r>
      <w:r>
        <w:rPr>
          <w:rFonts w:hint="eastAsia" w:ascii="宋体" w:hAnsi="宋体" w:eastAsia="宋体" w:cs="宋体"/>
          <w:bCs/>
          <w:color w:val="auto"/>
          <w:szCs w:val="24"/>
          <w:highlight w:val="none"/>
          <w:lang w:val="en-US" w:eastAsia="zh-CN"/>
        </w:rPr>
        <w:t>附件</w:t>
      </w:r>
      <w:r>
        <w:rPr>
          <w:rFonts w:hint="eastAsia" w:cs="宋体"/>
          <w:bCs/>
          <w:color w:val="auto"/>
          <w:szCs w:val="24"/>
          <w:highlight w:val="none"/>
          <w:lang w:val="en-US" w:eastAsia="zh-CN"/>
        </w:rPr>
        <w:t>三</w:t>
      </w:r>
      <w:r>
        <w:rPr>
          <w:rFonts w:hint="eastAsia" w:ascii="宋体" w:hAnsi="宋体" w:eastAsia="宋体" w:cs="宋体"/>
          <w:bCs/>
          <w:color w:val="auto"/>
          <w:szCs w:val="24"/>
          <w:highlight w:val="none"/>
          <w:lang w:val="en-US" w:eastAsia="zh-CN"/>
        </w:rPr>
        <w:t>：</w:t>
      </w:r>
      <w:r>
        <w:rPr>
          <w:rFonts w:hint="eastAsia"/>
          <w:bCs/>
          <w:color w:val="auto"/>
          <w:highlight w:val="none"/>
          <w:lang w:val="en-US" w:eastAsia="zh-CN"/>
        </w:rPr>
        <w:t>《四川省财政厅关于推进四川省政府采购供应商信用融资工作的通知》(川财采〔2018〕123号文)</w:t>
      </w:r>
      <w:r>
        <w:rPr>
          <w:color w:val="auto"/>
          <w:highlight w:val="none"/>
        </w:rPr>
        <w:tab/>
      </w:r>
      <w:r>
        <w:rPr>
          <w:color w:val="auto"/>
          <w:highlight w:val="none"/>
        </w:rPr>
        <w:fldChar w:fldCharType="begin"/>
      </w:r>
      <w:r>
        <w:rPr>
          <w:color w:val="auto"/>
          <w:highlight w:val="none"/>
        </w:rPr>
        <w:instrText xml:space="preserve"> PAGEREF _Toc7114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_Toc29633 </w:instrText>
      </w:r>
      <w:r>
        <w:rPr>
          <w:color w:val="auto"/>
          <w:highlight w:val="none"/>
        </w:rPr>
        <w:fldChar w:fldCharType="separate"/>
      </w:r>
      <w:r>
        <w:rPr>
          <w:rFonts w:hint="eastAsia" w:ascii="宋体" w:hAnsi="宋体" w:eastAsia="宋体" w:cs="宋体"/>
          <w:bCs/>
          <w:color w:val="auto"/>
          <w:szCs w:val="24"/>
          <w:highlight w:val="none"/>
          <w:lang w:val="en-US" w:eastAsia="zh-CN"/>
        </w:rPr>
        <w:t>附件</w:t>
      </w:r>
      <w:r>
        <w:rPr>
          <w:rFonts w:hint="eastAsia" w:cs="宋体"/>
          <w:bCs/>
          <w:color w:val="auto"/>
          <w:szCs w:val="24"/>
          <w:highlight w:val="none"/>
          <w:lang w:val="en-US" w:eastAsia="zh-CN"/>
        </w:rPr>
        <w:t>四</w:t>
      </w:r>
      <w:r>
        <w:rPr>
          <w:rFonts w:hint="eastAsia" w:ascii="宋体" w:hAnsi="宋体" w:eastAsia="宋体" w:cs="宋体"/>
          <w:bCs/>
          <w:color w:val="auto"/>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Cs/>
          <w:color w:val="auto"/>
          <w:szCs w:val="24"/>
          <w:highlight w:val="none"/>
          <w:lang w:val="en-US" w:eastAsia="zh-CN"/>
        </w:rPr>
        <w:t>(</w:t>
      </w:r>
      <w:r>
        <w:rPr>
          <w:rFonts w:hint="eastAsia" w:ascii="宋体" w:hAnsi="宋体" w:eastAsia="宋体" w:cs="宋体"/>
          <w:bCs/>
          <w:color w:val="auto"/>
          <w:szCs w:val="24"/>
          <w:highlight w:val="none"/>
          <w:lang w:val="en-US" w:eastAsia="zh-CN"/>
        </w:rPr>
        <w:t>成财采〔2019〕17号</w:t>
      </w:r>
      <w:r>
        <w:rPr>
          <w:rFonts w:hint="eastAsia" w:cs="宋体"/>
          <w:bCs/>
          <w:color w:val="auto"/>
          <w:szCs w:val="24"/>
          <w:highlight w:val="none"/>
          <w:lang w:val="en-US" w:eastAsia="zh-CN"/>
        </w:rPr>
        <w:t>)</w:t>
      </w:r>
      <w:r>
        <w:rPr>
          <w:color w:val="auto"/>
          <w:highlight w:val="none"/>
        </w:rPr>
        <w:tab/>
      </w:r>
      <w:r>
        <w:rPr>
          <w:color w:val="auto"/>
          <w:highlight w:val="none"/>
        </w:rPr>
        <w:fldChar w:fldCharType="begin"/>
      </w:r>
      <w:r>
        <w:rPr>
          <w:color w:val="auto"/>
          <w:highlight w:val="none"/>
        </w:rPr>
        <w:instrText xml:space="preserve"> PAGEREF _Toc29633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_Toc24108 </w:instrText>
      </w:r>
      <w:r>
        <w:rPr>
          <w:color w:val="auto"/>
          <w:highlight w:val="none"/>
        </w:rPr>
        <w:fldChar w:fldCharType="separate"/>
      </w:r>
      <w:r>
        <w:rPr>
          <w:rFonts w:hint="eastAsia"/>
          <w:color w:val="auto"/>
          <w:highlight w:val="none"/>
          <w:lang w:val="en-US" w:eastAsia="zh-CN"/>
        </w:rPr>
        <w:t>附件五：《成都市财政局 中国人民银行成都分行营业管理部关于印发成都市政府采购应对新冠肺炎疫情促进中小企业发展实施细则的通知》成财制〔2020〕2号</w:t>
      </w:r>
      <w:r>
        <w:rPr>
          <w:color w:val="auto"/>
          <w:highlight w:val="none"/>
        </w:rPr>
        <w:tab/>
      </w:r>
      <w:r>
        <w:rPr>
          <w:color w:val="auto"/>
          <w:highlight w:val="none"/>
        </w:rPr>
        <w:fldChar w:fldCharType="begin"/>
      </w:r>
      <w:r>
        <w:rPr>
          <w:color w:val="auto"/>
          <w:highlight w:val="none"/>
        </w:rPr>
        <w:instrText xml:space="preserve"> PAGEREF _Toc24108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_Toc29480 </w:instrText>
      </w:r>
      <w:r>
        <w:rPr>
          <w:color w:val="auto"/>
          <w:highlight w:val="none"/>
        </w:rPr>
        <w:fldChar w:fldCharType="separate"/>
      </w:r>
      <w:r>
        <w:rPr>
          <w:rFonts w:hint="eastAsia"/>
          <w:color w:val="auto"/>
          <w:highlight w:val="none"/>
          <w:lang w:val="en-US" w:eastAsia="zh-CN"/>
        </w:rPr>
        <w:t>附件六：环保标志产品政府采购品目清单</w:t>
      </w:r>
      <w:r>
        <w:rPr>
          <w:color w:val="auto"/>
          <w:highlight w:val="none"/>
        </w:rPr>
        <w:tab/>
      </w:r>
      <w:r>
        <w:rPr>
          <w:color w:val="auto"/>
          <w:highlight w:val="none"/>
        </w:rPr>
        <w:fldChar w:fldCharType="begin"/>
      </w:r>
      <w:r>
        <w:rPr>
          <w:color w:val="auto"/>
          <w:highlight w:val="none"/>
        </w:rPr>
        <w:instrText xml:space="preserve"> PAGEREF _Toc29480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_Toc32456 </w:instrText>
      </w:r>
      <w:r>
        <w:rPr>
          <w:color w:val="auto"/>
          <w:highlight w:val="none"/>
        </w:rPr>
        <w:fldChar w:fldCharType="separate"/>
      </w:r>
      <w:r>
        <w:rPr>
          <w:rFonts w:hint="eastAsia"/>
          <w:color w:val="auto"/>
          <w:highlight w:val="none"/>
          <w:lang w:val="en-US" w:eastAsia="zh-CN"/>
        </w:rPr>
        <w:t>附件七：节能产品政府采购品目清单</w:t>
      </w:r>
      <w:r>
        <w:rPr>
          <w:color w:val="auto"/>
          <w:highlight w:val="none"/>
        </w:rPr>
        <w:tab/>
      </w:r>
      <w:r>
        <w:rPr>
          <w:color w:val="auto"/>
          <w:highlight w:val="none"/>
        </w:rPr>
        <w:fldChar w:fldCharType="begin"/>
      </w:r>
      <w:r>
        <w:rPr>
          <w:color w:val="auto"/>
          <w:highlight w:val="none"/>
        </w:rPr>
        <w:instrText xml:space="preserve"> PAGEREF _Toc32456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_Toc26288 </w:instrText>
      </w:r>
      <w:r>
        <w:rPr>
          <w:color w:val="auto"/>
          <w:highlight w:val="none"/>
        </w:rPr>
        <w:fldChar w:fldCharType="separate"/>
      </w:r>
      <w:r>
        <w:rPr>
          <w:rFonts w:hint="eastAsia"/>
          <w:color w:val="auto"/>
          <w:highlight w:val="none"/>
          <w:lang w:val="en-US" w:eastAsia="zh-CN"/>
        </w:rPr>
        <w:t>附件八：质疑函和投诉书范本</w:t>
      </w:r>
      <w:r>
        <w:rPr>
          <w:color w:val="auto"/>
          <w:highlight w:val="none"/>
        </w:rPr>
        <w:tab/>
      </w:r>
      <w:r>
        <w:rPr>
          <w:color w:val="auto"/>
          <w:highlight w:val="none"/>
        </w:rPr>
        <w:fldChar w:fldCharType="begin"/>
      </w:r>
      <w:r>
        <w:rPr>
          <w:color w:val="auto"/>
          <w:highlight w:val="none"/>
        </w:rPr>
        <w:instrText xml:space="preserve"> PAGEREF _Toc26288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5"/>
        <w:bidi w:val="0"/>
        <w:rPr>
          <w:rFonts w:hint="eastAsia"/>
          <w:color w:val="auto"/>
          <w:highlight w:val="none"/>
        </w:rPr>
      </w:pPr>
      <w:r>
        <w:rPr>
          <w:rFonts w:hint="eastAsia"/>
          <w:color w:val="auto"/>
          <w:highlight w:val="none"/>
        </w:rPr>
        <w:br w:type="page"/>
      </w:r>
      <w:bookmarkEnd w:id="2"/>
      <w:bookmarkEnd w:id="9"/>
      <w:bookmarkEnd w:id="10"/>
      <w:bookmarkStart w:id="12" w:name="_Toc9731"/>
      <w:bookmarkStart w:id="13" w:name="_Toc26208"/>
      <w:bookmarkStart w:id="14" w:name="_Toc213397009"/>
      <w:bookmarkStart w:id="15" w:name="_Toc213396759"/>
      <w:bookmarkStart w:id="16" w:name="_Toc213496267"/>
      <w:bookmarkStart w:id="17" w:name="_Toc213396945"/>
      <w:bookmarkStart w:id="18" w:name="_Toc217446031"/>
      <w:r>
        <w:rPr>
          <w:rFonts w:hint="eastAsia"/>
          <w:color w:val="auto"/>
          <w:highlight w:val="none"/>
        </w:rPr>
        <w:t>投标邀请</w:t>
      </w:r>
      <w:bookmarkEnd w:id="11"/>
      <w:bookmarkEnd w:id="12"/>
      <w:bookmarkEnd w:id="13"/>
    </w:p>
    <w:p>
      <w:pPr>
        <w:pStyle w:val="29"/>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w:t>
      </w:r>
      <w:r>
        <w:rPr>
          <w:rFonts w:hint="eastAsia"/>
          <w:color w:val="auto"/>
          <w:highlight w:val="none"/>
          <w:lang w:val="en-US" w:eastAsia="zh-CN"/>
        </w:rPr>
        <w:t>成都市技师学院</w:t>
      </w:r>
      <w:r>
        <w:rPr>
          <w:rFonts w:hint="eastAsia"/>
          <w:color w:val="auto"/>
          <w:highlight w:val="none"/>
        </w:rPr>
        <w:t>的委托，拟对</w:t>
      </w:r>
      <w:r>
        <w:rPr>
          <w:rFonts w:hint="eastAsia"/>
          <w:color w:val="auto"/>
          <w:highlight w:val="none"/>
          <w:lang w:val="en-US" w:eastAsia="zh-CN"/>
        </w:rPr>
        <w:t>成都市技师学院2022年教职工(含离退休职工)健康体检服务采购项目(第二次)</w:t>
      </w:r>
      <w:r>
        <w:rPr>
          <w:rFonts w:hint="eastAsia"/>
          <w:color w:val="auto"/>
          <w:highlight w:val="none"/>
        </w:rPr>
        <w:t>进行国内公开招标，兹邀请符合本次招标要求的供应商参加投标。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项目编号：</w:t>
      </w:r>
      <w:r>
        <w:rPr>
          <w:rFonts w:hint="eastAsia"/>
          <w:b w:val="0"/>
          <w:bCs w:val="0"/>
          <w:color w:val="auto"/>
          <w:highlight w:val="none"/>
        </w:rPr>
        <w:t xml:space="preserve">N5101012022000188 </w:t>
      </w:r>
      <w:r>
        <w:rPr>
          <w:rFonts w:hint="eastAsia"/>
          <w:color w:val="auto"/>
          <w:highlight w:val="none"/>
        </w:rPr>
        <w:t xml:space="preserve">         </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color w:val="auto"/>
          <w:highlight w:val="none"/>
          <w:lang w:val="en-US" w:eastAsia="zh-CN"/>
        </w:rPr>
        <w:t>成都市技师学院2022年教职工(含离退休职工)健康体检服务采购项目(第二次)</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w:t>
      </w:r>
      <w:r>
        <w:rPr>
          <w:rFonts w:hint="eastAsia"/>
          <w:b/>
          <w:bCs/>
          <w:color w:val="auto"/>
          <w:highlight w:val="none"/>
          <w:u w:val="none"/>
        </w:rPr>
        <w:t>成都市财政局下达的《成都市市级政府采购实施计划备案表》备案号：</w:t>
      </w:r>
      <w:r>
        <w:rPr>
          <w:rFonts w:hint="eastAsia"/>
          <w:b/>
          <w:bCs/>
          <w:color w:val="auto"/>
          <w:highlight w:val="none"/>
          <w:u w:val="none"/>
          <w:lang w:eastAsia="zh-CN"/>
        </w:rPr>
        <w:t>(</w:t>
      </w:r>
      <w:r>
        <w:rPr>
          <w:rFonts w:hint="eastAsia"/>
          <w:b/>
          <w:bCs/>
          <w:color w:val="auto"/>
          <w:highlight w:val="none"/>
          <w:u w:val="none"/>
        </w:rPr>
        <w:t>51010022210200006843[2022]00535</w:t>
      </w:r>
      <w:r>
        <w:rPr>
          <w:rFonts w:hint="eastAsia"/>
          <w:b/>
          <w:bCs/>
          <w:color w:val="auto"/>
          <w:highlight w:val="none"/>
          <w:u w:val="none"/>
          <w:lang w:eastAsia="zh-CN"/>
        </w:rPr>
        <w:t>)</w:t>
      </w:r>
      <w:r>
        <w:rPr>
          <w:rFonts w:hint="eastAsia"/>
          <w:b/>
          <w:bCs/>
          <w:color w:val="auto"/>
          <w:highlight w:val="none"/>
          <w:u w:val="none"/>
        </w:rPr>
        <w:t>，该项目预算资金为</w:t>
      </w:r>
      <w:r>
        <w:rPr>
          <w:rFonts w:hint="eastAsia"/>
          <w:b/>
          <w:bCs/>
          <w:color w:val="auto"/>
          <w:highlight w:val="none"/>
          <w:u w:val="none"/>
          <w:lang w:val="en-US" w:eastAsia="zh-CN"/>
        </w:rPr>
        <w:t>人民币160</w:t>
      </w:r>
      <w:r>
        <w:rPr>
          <w:rFonts w:hint="eastAsia"/>
          <w:b/>
          <w:bCs/>
          <w:color w:val="auto"/>
          <w:highlight w:val="none"/>
          <w:u w:val="none"/>
        </w:rPr>
        <w:t>万元</w:t>
      </w:r>
      <w:r>
        <w:rPr>
          <w:rFonts w:hint="eastAsia"/>
          <w:b/>
          <w:bCs/>
          <w:color w:val="auto"/>
          <w:highlight w:val="none"/>
          <w:u w:val="none"/>
          <w:lang w:eastAsia="zh-CN"/>
        </w:rPr>
        <w:t>，</w:t>
      </w:r>
      <w:r>
        <w:rPr>
          <w:rFonts w:hint="eastAsia"/>
          <w:b/>
          <w:bCs/>
          <w:color w:val="auto"/>
          <w:highlight w:val="none"/>
          <w:u w:val="none"/>
          <w:lang w:val="en-US" w:eastAsia="zh-CN"/>
        </w:rPr>
        <w:t>采购品目：</w:t>
      </w:r>
      <w:r>
        <w:rPr>
          <w:rFonts w:hint="eastAsia"/>
          <w:b/>
          <w:bCs/>
          <w:color w:val="auto"/>
          <w:highlight w:val="none"/>
          <w:u w:val="none"/>
          <w:lang w:val="en-US" w:eastAsia="zh-CN"/>
        </w:rPr>
        <w:t>C1901医疗卫生服务。</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(一)采购内容：</w:t>
      </w:r>
      <w:r>
        <w:rPr>
          <w:rFonts w:hint="eastAsia"/>
          <w:color w:val="auto"/>
          <w:highlight w:val="none"/>
          <w:lang w:val="en-US" w:eastAsia="zh-CN"/>
        </w:rPr>
        <w:t>2022年教职工(含离退休职工)健康体检服</w:t>
      </w:r>
      <w:bookmarkStart w:id="1230" w:name="_GoBack"/>
      <w:bookmarkEnd w:id="1230"/>
      <w:r>
        <w:rPr>
          <w:rFonts w:hint="eastAsia"/>
          <w:color w:val="auto"/>
          <w:highlight w:val="none"/>
          <w:lang w:val="en-US" w:eastAsia="zh-CN"/>
        </w:rPr>
        <w:t>务</w:t>
      </w:r>
      <w:r>
        <w:rPr>
          <w:rFonts w:hint="eastAsia"/>
          <w:color w:val="auto"/>
          <w:highlight w:val="none"/>
        </w:rPr>
        <w:t>，</w:t>
      </w:r>
      <w:r>
        <w:rPr>
          <w:rFonts w:hint="eastAsia"/>
          <w:color w:val="auto"/>
          <w:highlight w:val="none"/>
          <w:lang w:val="en-US" w:eastAsia="zh-CN"/>
        </w:rPr>
        <w:t>具体</w:t>
      </w:r>
      <w:r>
        <w:rPr>
          <w:rFonts w:hint="eastAsia"/>
          <w:color w:val="auto"/>
          <w:highlight w:val="none"/>
        </w:rPr>
        <w:t>详见招标文件第六章。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(二)采购包划分：</w:t>
      </w:r>
      <w:r>
        <w:rPr>
          <w:rFonts w:hint="eastAsia"/>
          <w:color w:val="auto"/>
          <w:highlight w:val="none"/>
          <w:lang w:val="en-US" w:eastAsia="zh-CN"/>
        </w:rPr>
        <w:t>本项目</w:t>
      </w:r>
      <w:r>
        <w:rPr>
          <w:rFonts w:hint="eastAsia"/>
          <w:color w:val="auto"/>
          <w:highlight w:val="none"/>
        </w:rPr>
        <w:t>共计</w:t>
      </w:r>
      <w:r>
        <w:rPr>
          <w:rFonts w:hint="eastAsia"/>
          <w:color w:val="auto"/>
          <w:highlight w:val="none"/>
          <w:lang w:val="en-US" w:eastAsia="zh-CN"/>
        </w:rPr>
        <w:t>1</w:t>
      </w:r>
      <w:r>
        <w:rPr>
          <w:rFonts w:hint="eastAsia"/>
          <w:color w:val="auto"/>
          <w:highlight w:val="none"/>
        </w:rPr>
        <w:t>个包，</w:t>
      </w:r>
      <w:r>
        <w:rPr>
          <w:rFonts w:hint="eastAsia"/>
          <w:color w:val="auto"/>
          <w:highlight w:val="none"/>
          <w:lang w:val="en-US" w:eastAsia="zh-CN"/>
        </w:rPr>
        <w:t>设置1名中标人</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(三)采购用途：</w:t>
      </w:r>
      <w:r>
        <w:rPr>
          <w:rFonts w:hint="eastAsia"/>
          <w:b w:val="0"/>
          <w:bCs w:val="0"/>
          <w:color w:val="auto"/>
          <w:highlight w:val="none"/>
          <w:lang w:val="en-US" w:eastAsia="zh-CN"/>
        </w:rPr>
        <w:t>用于</w:t>
      </w:r>
      <w:r>
        <w:rPr>
          <w:rFonts w:hint="eastAsia"/>
          <w:b w:val="0"/>
          <w:bCs w:val="0"/>
          <w:color w:val="auto"/>
          <w:highlight w:val="none"/>
        </w:rPr>
        <w:t>提高</w:t>
      </w:r>
      <w:r>
        <w:rPr>
          <w:rFonts w:hint="eastAsia"/>
          <w:b w:val="0"/>
          <w:bCs w:val="0"/>
          <w:color w:val="auto"/>
          <w:highlight w:val="none"/>
          <w:lang w:val="en-US" w:eastAsia="zh-CN"/>
        </w:rPr>
        <w:t>健康</w:t>
      </w:r>
      <w:r>
        <w:rPr>
          <w:rFonts w:hint="eastAsia"/>
          <w:b w:val="0"/>
          <w:bCs w:val="0"/>
          <w:color w:val="auto"/>
          <w:highlight w:val="none"/>
        </w:rPr>
        <w:t>体检服务质量，增强</w:t>
      </w:r>
      <w:r>
        <w:rPr>
          <w:rFonts w:hint="eastAsia"/>
          <w:b w:val="0"/>
          <w:bCs w:val="0"/>
          <w:color w:val="auto"/>
          <w:highlight w:val="none"/>
          <w:lang w:val="en-US" w:eastAsia="zh-CN"/>
        </w:rPr>
        <w:t>教职工</w:t>
      </w:r>
      <w:r>
        <w:rPr>
          <w:rFonts w:hint="eastAsia"/>
          <w:b w:val="0"/>
          <w:bCs w:val="0"/>
          <w:color w:val="auto"/>
          <w:highlight w:val="none"/>
        </w:rPr>
        <w:t>幸福感、获得感</w:t>
      </w:r>
      <w:r>
        <w:rPr>
          <w:rFonts w:hint="eastAsia"/>
          <w:color w:val="auto"/>
          <w:highlight w:val="none"/>
          <w:lang w:val="en-US" w:eastAsia="zh-CN"/>
        </w:rPr>
        <w:t>。</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rPr>
        <w:t>(四)项目性质：</w:t>
      </w:r>
      <w:r>
        <w:rPr>
          <w:rFonts w:hint="eastAsia"/>
          <w:color w:val="auto"/>
          <w:highlight w:val="none"/>
        </w:rPr>
        <w:t>政府采购。</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rPr>
        <w:t>(五)组织形式：</w:t>
      </w:r>
      <w:r>
        <w:rPr>
          <w:rFonts w:hint="eastAsia"/>
          <w:color w:val="auto"/>
          <w:highlight w:val="none"/>
        </w:rPr>
        <w:t>分散采购</w:t>
      </w:r>
      <w:r>
        <w:rPr>
          <w:rFonts w:hint="eastAsia"/>
          <w:color w:val="auto"/>
          <w:highlight w:val="none"/>
          <w:lang w:val="en-US" w:eastAsia="zh-CN"/>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供应商参加本次政府采购活动应具备下列条件：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w:t>
      </w:r>
      <w:r>
        <w:rPr>
          <w:rFonts w:hint="eastAsia"/>
          <w:b/>
          <w:bCs/>
          <w:color w:val="auto"/>
          <w:highlight w:val="none"/>
          <w:lang w:val="zh-CN"/>
        </w:rPr>
        <w:t>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本项目的特定资格要求：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eastAsia="宋体"/>
          <w:color w:val="auto"/>
          <w:highlight w:val="none"/>
          <w:lang w:val="zh-CN" w:eastAsia="zh-CN"/>
        </w:rPr>
      </w:pPr>
      <w:r>
        <w:rPr>
          <w:rFonts w:hint="eastAsia"/>
          <w:color w:val="auto"/>
          <w:highlight w:val="none"/>
          <w:lang w:val="en-US" w:eastAsia="zh-CN"/>
        </w:rPr>
        <w:t>1.投标人具备</w:t>
      </w:r>
      <w:r>
        <w:rPr>
          <w:rFonts w:hint="eastAsia" w:ascii="宋体" w:hAnsi="宋体" w:eastAsia="宋体" w:cs="宋体"/>
          <w:color w:val="auto"/>
          <w:sz w:val="24"/>
          <w:szCs w:val="24"/>
          <w:highlight w:val="none"/>
          <w:u w:val="none"/>
        </w:rPr>
        <w:t>国家卫生部门颁发的</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医疗机构执业许可证</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(投标人为军队医院的应具有《军队单位对外有偿服务许可证》)</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具备</w:t>
      </w:r>
      <w:r>
        <w:rPr>
          <w:rFonts w:hint="eastAsia" w:ascii="宋体" w:hAnsi="宋体" w:eastAsia="宋体" w:cs="宋体"/>
          <w:color w:val="auto"/>
          <w:sz w:val="24"/>
          <w:szCs w:val="24"/>
          <w:highlight w:val="none"/>
          <w:u w:val="none"/>
        </w:rPr>
        <w:t>有效的《</w:t>
      </w:r>
      <w:r>
        <w:rPr>
          <w:rFonts w:hint="eastAsia" w:ascii="宋体" w:hAnsi="宋体" w:eastAsia="宋体" w:cs="宋体"/>
          <w:color w:val="auto"/>
          <w:sz w:val="24"/>
          <w:szCs w:val="24"/>
          <w:highlight w:val="none"/>
          <w:u w:val="none"/>
          <w:lang w:val="en-US" w:eastAsia="zh-CN"/>
        </w:rPr>
        <w:t>放射诊疗</w:t>
      </w:r>
      <w:r>
        <w:rPr>
          <w:rFonts w:hint="eastAsia" w:ascii="宋体" w:hAnsi="宋体" w:eastAsia="宋体" w:cs="宋体"/>
          <w:color w:val="auto"/>
          <w:sz w:val="24"/>
          <w:szCs w:val="24"/>
          <w:highlight w:val="none"/>
          <w:u w:val="none"/>
        </w:rPr>
        <w:t>许可证</w:t>
      </w:r>
      <w:r>
        <w:rPr>
          <w:rFonts w:hint="eastAsia" w:ascii="宋体" w:hAnsi="宋体" w:eastAsia="宋体" w:cs="宋体"/>
          <w:color w:val="auto"/>
          <w:sz w:val="24"/>
          <w:szCs w:val="24"/>
          <w:highlight w:val="none"/>
          <w:u w:val="none"/>
          <w:lang w:eastAsia="zh-CN"/>
        </w:rPr>
        <w:t>》</w:t>
      </w:r>
      <w:r>
        <w:rPr>
          <w:rFonts w:hint="eastAsia" w:cs="宋体"/>
          <w:color w:val="auto"/>
          <w:sz w:val="24"/>
          <w:szCs w:val="24"/>
          <w:highlight w:val="none"/>
          <w:u w:val="none"/>
          <w:lang w:eastAsia="zh-CN"/>
        </w:rPr>
        <w:t>或者《辐射安全许可证》</w:t>
      </w:r>
      <w:r>
        <w:rPr>
          <w:rFonts w:hint="eastAsia" w:ascii="宋体" w:hAnsi="宋体" w:eastAsia="宋体" w:cs="宋体"/>
          <w:color w:val="auto"/>
          <w:sz w:val="24"/>
          <w:szCs w:val="24"/>
          <w:highlight w:val="none"/>
          <w:u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en-US" w:eastAsia="zh-CN"/>
        </w:rPr>
        <w:t>2.本项目不接受联合体投标。</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38"/>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lang w:val="en-US" w:eastAsia="zh-CN"/>
        </w:rPr>
      </w:pPr>
      <w:bookmarkStart w:id="19" w:name="PO_默认文件内容_4"/>
      <w:r>
        <w:rPr>
          <w:rFonts w:hint="eastAsia"/>
          <w:color w:val="auto"/>
          <w:highlight w:val="none"/>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6"/>
        <w:keepNext w:val="0"/>
        <w:keepLines w:val="0"/>
        <w:pageBreakBefore w:val="0"/>
        <w:widowControl w:val="0"/>
        <w:numPr>
          <w:ilvl w:val="0"/>
          <w:numId w:val="8"/>
        </w:numPr>
        <w:kinsoku/>
        <w:overflowPunct/>
        <w:autoSpaceDE/>
        <w:autoSpaceDN/>
        <w:bidi w:val="0"/>
        <w:adjustRightInd w:val="0"/>
        <w:snapToGrid w:val="0"/>
        <w:spacing w:line="440" w:lineRule="exact"/>
        <w:ind w:firstLine="482" w:firstLineChars="200"/>
        <w:textAlignment w:val="auto"/>
        <w:rPr>
          <w:b/>
          <w:bCs/>
          <w:color w:val="auto"/>
          <w:highlight w:val="none"/>
        </w:rPr>
      </w:pPr>
      <w:r>
        <w:rPr>
          <w:rFonts w:hint="eastAsia"/>
          <w:b/>
          <w:bCs/>
          <w:color w:val="auto"/>
          <w:highlight w:val="none"/>
        </w:rPr>
        <w:t>招标文件获取</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zh-CN" w:eastAsia="zh-CN" w:bidi="ar-SA"/>
        </w:rPr>
      </w:pPr>
      <w:r>
        <w:rPr>
          <w:rFonts w:hint="eastAsia" w:ascii="宋体" w:hAnsi="宋体" w:eastAsia="宋体" w:cs="Times New Roman"/>
          <w:b/>
          <w:bCs/>
          <w:snapToGrid w:val="0"/>
          <w:color w:val="auto"/>
          <w:kern w:val="2"/>
          <w:sz w:val="24"/>
          <w:szCs w:val="24"/>
          <w:highlight w:val="none"/>
          <w:lang w:val="en-US" w:eastAsia="zh-CN" w:bidi="ar-SA"/>
        </w:rPr>
        <w:t>(一)获取招标文件的时间期限(即报名时间)</w:t>
      </w:r>
      <w:r>
        <w:rPr>
          <w:rFonts w:hint="eastAsia" w:ascii="宋体" w:hAnsi="宋体" w:eastAsia="宋体" w:cs="Times New Roman"/>
          <w:snapToGrid w:val="0"/>
          <w:color w:val="auto"/>
          <w:kern w:val="2"/>
          <w:sz w:val="24"/>
          <w:szCs w:val="24"/>
          <w:highlight w:val="none"/>
          <w:lang w:val="en-US" w:eastAsia="zh-CN" w:bidi="ar-SA"/>
        </w:rPr>
        <w:t>：</w:t>
      </w:r>
      <w:r>
        <w:rPr>
          <w:rFonts w:hint="eastAsia" w:ascii="宋体" w:hAnsi="宋体" w:eastAsia="宋体" w:cs="Times New Roman"/>
          <w:snapToGrid w:val="0"/>
          <w:color w:val="auto"/>
          <w:kern w:val="2"/>
          <w:sz w:val="24"/>
          <w:szCs w:val="24"/>
          <w:highlight w:val="none"/>
          <w:u w:val="none"/>
          <w:lang w:val="en-US" w:eastAsia="zh-CN" w:bidi="ar-SA"/>
        </w:rPr>
        <w:t>2022年</w:t>
      </w:r>
      <w:r>
        <w:rPr>
          <w:rFonts w:hint="eastAsia" w:cs="Times New Roman"/>
          <w:snapToGrid w:val="0"/>
          <w:color w:val="auto"/>
          <w:kern w:val="2"/>
          <w:sz w:val="24"/>
          <w:szCs w:val="24"/>
          <w:highlight w:val="none"/>
          <w:u w:val="none"/>
          <w:lang w:val="en-US" w:eastAsia="zh-CN" w:bidi="ar-SA"/>
        </w:rPr>
        <w:t>7</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27</w:t>
      </w:r>
      <w:r>
        <w:rPr>
          <w:rFonts w:hint="eastAsia" w:ascii="宋体" w:hAnsi="宋体" w:eastAsia="宋体" w:cs="Times New Roman"/>
          <w:snapToGrid w:val="0"/>
          <w:color w:val="auto"/>
          <w:kern w:val="2"/>
          <w:sz w:val="24"/>
          <w:szCs w:val="24"/>
          <w:highlight w:val="none"/>
          <w:u w:val="none"/>
          <w:lang w:val="en-US" w:eastAsia="zh-CN" w:bidi="ar-SA"/>
        </w:rPr>
        <w:t>日至2022年</w:t>
      </w:r>
      <w:r>
        <w:rPr>
          <w:rFonts w:hint="eastAsia" w:cs="Times New Roman"/>
          <w:snapToGrid w:val="0"/>
          <w:color w:val="auto"/>
          <w:kern w:val="2"/>
          <w:sz w:val="24"/>
          <w:szCs w:val="24"/>
          <w:highlight w:val="none"/>
          <w:u w:val="none"/>
          <w:lang w:val="en-US" w:eastAsia="zh-CN" w:bidi="ar-SA"/>
        </w:rPr>
        <w:t>8</w:t>
      </w:r>
      <w:r>
        <w:rPr>
          <w:rFonts w:hint="eastAsia" w:ascii="宋体" w:hAnsi="宋体" w:eastAsia="宋体" w:cs="Times New Roman"/>
          <w:snapToGrid w:val="0"/>
          <w:color w:val="auto"/>
          <w:kern w:val="2"/>
          <w:sz w:val="24"/>
          <w:szCs w:val="24"/>
          <w:highlight w:val="none"/>
          <w:u w:val="none"/>
          <w:lang w:val="en-US" w:eastAsia="zh-CN" w:bidi="ar-SA"/>
        </w:rPr>
        <w:t>月</w:t>
      </w:r>
      <w:r>
        <w:rPr>
          <w:rFonts w:hint="eastAsia" w:cs="Times New Roman"/>
          <w:snapToGrid w:val="0"/>
          <w:color w:val="auto"/>
          <w:kern w:val="2"/>
          <w:sz w:val="24"/>
          <w:szCs w:val="24"/>
          <w:highlight w:val="none"/>
          <w:u w:val="none"/>
          <w:lang w:val="en-US" w:eastAsia="zh-CN" w:bidi="ar-SA"/>
        </w:rPr>
        <w:t>3</w:t>
      </w:r>
      <w:r>
        <w:rPr>
          <w:rFonts w:hint="eastAsia" w:ascii="宋体" w:hAnsi="宋体" w:eastAsia="宋体" w:cs="Times New Roman"/>
          <w:snapToGrid w:val="0"/>
          <w:color w:val="auto"/>
          <w:kern w:val="2"/>
          <w:sz w:val="24"/>
          <w:szCs w:val="24"/>
          <w:highlight w:val="none"/>
          <w:u w:val="none"/>
          <w:lang w:val="en-US" w:eastAsia="zh-CN" w:bidi="ar-SA"/>
        </w:rPr>
        <w:t>日</w:t>
      </w:r>
      <w:r>
        <w:rPr>
          <w:rFonts w:hint="eastAsia" w:ascii="宋体" w:hAnsi="宋体" w:eastAsia="宋体" w:cs="Times New Roman"/>
          <w:snapToGrid w:val="0"/>
          <w:color w:val="auto"/>
          <w:kern w:val="2"/>
          <w:sz w:val="24"/>
          <w:szCs w:val="24"/>
          <w:highlight w:val="none"/>
          <w:u w:val="none"/>
          <w:lang w:val="en-US" w:eastAsia="zh-CN" w:bidi="ar-SA"/>
        </w:rPr>
        <w:t>。</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(二)获取招标文件的地点：</w:t>
      </w:r>
      <w:r>
        <w:rPr>
          <w:rFonts w:hint="eastAsia" w:ascii="宋体" w:hAnsi="宋体" w:eastAsia="宋体" w:cs="Times New Roman"/>
          <w:b w:val="0"/>
          <w:bCs w:val="0"/>
          <w:snapToGrid w:val="0"/>
          <w:color w:val="auto"/>
          <w:kern w:val="2"/>
          <w:sz w:val="24"/>
          <w:szCs w:val="24"/>
          <w:highlight w:val="none"/>
          <w:lang w:val="en-US" w:eastAsia="zh-CN" w:bidi="ar-SA"/>
        </w:rPr>
        <w:t>四川省政府采购一体化平台</w:t>
      </w:r>
      <w:r>
        <w:rPr>
          <w:rFonts w:hint="eastAsia" w:ascii="宋体" w:hAnsi="宋体" w:eastAsia="宋体" w:cs="Times New Roman"/>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(三)在线获取招标文件的途径：</w:t>
      </w:r>
      <w:r>
        <w:rPr>
          <w:rFonts w:hint="eastAsia" w:ascii="宋体" w:hAnsi="宋体" w:eastAsia="宋体" w:cs="Times New Roman"/>
          <w:b w:val="0"/>
          <w:bCs w:val="0"/>
          <w:snapToGrid w:val="0"/>
          <w:color w:val="auto"/>
          <w:kern w:val="2"/>
          <w:sz w:val="24"/>
          <w:szCs w:val="24"/>
          <w:highlight w:val="none"/>
          <w:lang w:val="en-US" w:eastAsia="zh-CN" w:bidi="ar-SA"/>
        </w:rPr>
        <w:t>项目电子化交易系统-投标(响应)管理-未获取采购文件中选择本项目获取招标文件。</w:t>
      </w:r>
      <w:r>
        <w:rPr>
          <w:rFonts w:hint="eastAsia" w:ascii="宋体" w:hAnsi="宋体" w:eastAsia="宋体" w:cs="Times New Roman"/>
          <w:b/>
          <w:bCs/>
          <w:snapToGrid w:val="0"/>
          <w:color w:val="auto"/>
          <w:kern w:val="2"/>
          <w:sz w:val="24"/>
          <w:szCs w:val="24"/>
          <w:highlight w:val="non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(四)招标文件免费提供, 投标资格不得转让。</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b w:val="0"/>
          <w:bCs w:val="0"/>
          <w:color w:val="auto"/>
          <w:highlight w:val="none"/>
        </w:rPr>
      </w:pPr>
      <w:r>
        <w:rPr>
          <w:rFonts w:hint="eastAsia" w:cs="Times New Roman"/>
          <w:b/>
          <w:bCs/>
          <w:color w:val="auto"/>
          <w:highlight w:val="none"/>
          <w:lang w:val="en-US" w:eastAsia="zh-CN"/>
        </w:rPr>
        <w:t>(五)</w:t>
      </w:r>
      <w:r>
        <w:rPr>
          <w:rFonts w:hint="eastAsia" w:cs="Times New Roman"/>
          <w:color w:val="auto"/>
          <w:highlight w:val="none"/>
          <w:lang w:val="en-US" w:eastAsia="zh-CN"/>
        </w:rPr>
        <w:t>供应商应在规定的时间内按上述要求获取本招标文件，否则均无资格参加该项目的投标</w:t>
      </w:r>
      <w:r>
        <w:rPr>
          <w:rFonts w:hint="eastAsia"/>
          <w:b w:val="0"/>
          <w:bCs w:val="0"/>
          <w:color w:val="auto"/>
          <w:highlight w:val="none"/>
        </w:rPr>
        <w:t>。</w:t>
      </w:r>
    </w:p>
    <w:p>
      <w:pPr>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投标文件的递交</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imes New Roman"/>
          <w:b w:val="0"/>
          <w:bCs w:val="0"/>
          <w:snapToGrid w:val="0"/>
          <w:color w:val="auto"/>
          <w:kern w:val="2"/>
          <w:sz w:val="24"/>
          <w:szCs w:val="24"/>
          <w:highlight w:val="none"/>
          <w:lang w:val="en-US" w:eastAsia="zh-CN" w:bidi="ar-SA"/>
        </w:rPr>
      </w:pPr>
      <w:r>
        <w:rPr>
          <w:rFonts w:hint="eastAsia" w:ascii="宋体" w:hAnsi="宋体" w:eastAsia="宋体" w:cs="Times New Roman"/>
          <w:b w:val="0"/>
          <w:bCs w:val="0"/>
          <w:snapToGrid w:val="0"/>
          <w:color w:val="auto"/>
          <w:kern w:val="2"/>
          <w:sz w:val="24"/>
          <w:szCs w:val="24"/>
          <w:highlight w:val="none"/>
          <w:lang w:val="en-US" w:eastAsia="zh-CN" w:bidi="ar-SA"/>
        </w:rPr>
        <w:t>(一)投标文件递交起止时间：2022年</w:t>
      </w:r>
      <w:r>
        <w:rPr>
          <w:rFonts w:hint="eastAsia" w:cs="Times New Roman"/>
          <w:b w:val="0"/>
          <w:bCs w:val="0"/>
          <w:snapToGrid w:val="0"/>
          <w:color w:val="auto"/>
          <w:kern w:val="2"/>
          <w:sz w:val="24"/>
          <w:szCs w:val="24"/>
          <w:highlight w:val="none"/>
          <w:lang w:val="en-US" w:eastAsia="zh-CN" w:bidi="ar-SA"/>
        </w:rPr>
        <w:t>8</w:t>
      </w:r>
      <w:r>
        <w:rPr>
          <w:rFonts w:hint="eastAsia" w:ascii="宋体" w:hAnsi="宋体" w:eastAsia="宋体" w:cs="Times New Roman"/>
          <w:b w:val="0"/>
          <w:bCs w:val="0"/>
          <w:snapToGrid w:val="0"/>
          <w:color w:val="auto"/>
          <w:kern w:val="2"/>
          <w:sz w:val="24"/>
          <w:szCs w:val="24"/>
          <w:highlight w:val="none"/>
          <w:lang w:val="en-US" w:eastAsia="zh-CN" w:bidi="ar-SA"/>
        </w:rPr>
        <w:t>月</w:t>
      </w:r>
      <w:r>
        <w:rPr>
          <w:rFonts w:hint="eastAsia" w:cs="Times New Roman"/>
          <w:b w:val="0"/>
          <w:bCs w:val="0"/>
          <w:snapToGrid w:val="0"/>
          <w:color w:val="auto"/>
          <w:kern w:val="2"/>
          <w:sz w:val="24"/>
          <w:szCs w:val="24"/>
          <w:highlight w:val="none"/>
          <w:lang w:val="en-US" w:eastAsia="zh-CN" w:bidi="ar-SA"/>
        </w:rPr>
        <w:t>17</w:t>
      </w:r>
      <w:r>
        <w:rPr>
          <w:rFonts w:hint="eastAsia" w:ascii="宋体" w:hAnsi="宋体" w:eastAsia="宋体" w:cs="Times New Roman"/>
          <w:b w:val="0"/>
          <w:bCs w:val="0"/>
          <w:snapToGrid w:val="0"/>
          <w:color w:val="auto"/>
          <w:kern w:val="2"/>
          <w:sz w:val="24"/>
          <w:szCs w:val="24"/>
          <w:highlight w:val="none"/>
          <w:lang w:val="en-US" w:eastAsia="zh-CN" w:bidi="ar-SA"/>
        </w:rPr>
        <w:t>日</w:t>
      </w:r>
      <w:r>
        <w:rPr>
          <w:rFonts w:hint="eastAsia" w:cs="Times New Roman"/>
          <w:b w:val="0"/>
          <w:bCs w:val="0"/>
          <w:snapToGrid w:val="0"/>
          <w:color w:val="auto"/>
          <w:kern w:val="2"/>
          <w:sz w:val="24"/>
          <w:szCs w:val="24"/>
          <w:highlight w:val="none"/>
          <w:lang w:val="en-US" w:eastAsia="zh-CN" w:bidi="ar-SA"/>
        </w:rPr>
        <w:t>9</w:t>
      </w:r>
      <w:r>
        <w:rPr>
          <w:rFonts w:hint="eastAsia" w:ascii="宋体" w:hAnsi="宋体" w:eastAsia="宋体" w:cs="Times New Roman"/>
          <w:b w:val="0"/>
          <w:bCs w:val="0"/>
          <w:snapToGrid w:val="0"/>
          <w:color w:val="auto"/>
          <w:kern w:val="2"/>
          <w:sz w:val="24"/>
          <w:szCs w:val="24"/>
          <w:highlight w:val="none"/>
          <w:lang w:val="en-US" w:eastAsia="zh-CN" w:bidi="ar-SA"/>
        </w:rPr>
        <w:t>时</w:t>
      </w:r>
      <w:r>
        <w:rPr>
          <w:rFonts w:hint="eastAsia" w:cs="Times New Roman"/>
          <w:b w:val="0"/>
          <w:bCs w:val="0"/>
          <w:snapToGrid w:val="0"/>
          <w:color w:val="auto"/>
          <w:kern w:val="2"/>
          <w:sz w:val="24"/>
          <w:szCs w:val="24"/>
          <w:highlight w:val="none"/>
          <w:lang w:val="en-US" w:eastAsia="zh-CN" w:bidi="ar-SA"/>
        </w:rPr>
        <w:t>3</w:t>
      </w:r>
      <w:r>
        <w:rPr>
          <w:rFonts w:hint="eastAsia" w:ascii="宋体" w:hAnsi="宋体" w:eastAsia="宋体" w:cs="Times New Roman"/>
          <w:b w:val="0"/>
          <w:bCs w:val="0"/>
          <w:snapToGrid w:val="0"/>
          <w:color w:val="auto"/>
          <w:kern w:val="2"/>
          <w:sz w:val="24"/>
          <w:szCs w:val="24"/>
          <w:highlight w:val="none"/>
          <w:lang w:val="en-US" w:eastAsia="zh-CN" w:bidi="ar-SA"/>
        </w:rPr>
        <w:t>0分至</w:t>
      </w:r>
      <w:r>
        <w:rPr>
          <w:rFonts w:hint="eastAsia" w:cs="Times New Roman"/>
          <w:b w:val="0"/>
          <w:bCs w:val="0"/>
          <w:snapToGrid w:val="0"/>
          <w:color w:val="auto"/>
          <w:kern w:val="2"/>
          <w:sz w:val="24"/>
          <w:szCs w:val="24"/>
          <w:highlight w:val="none"/>
          <w:lang w:val="en-US" w:eastAsia="zh-CN" w:bidi="ar-SA"/>
        </w:rPr>
        <w:t>10</w:t>
      </w:r>
      <w:r>
        <w:rPr>
          <w:rFonts w:hint="eastAsia" w:ascii="宋体" w:hAnsi="宋体" w:eastAsia="宋体" w:cs="Times New Roman"/>
          <w:b w:val="0"/>
          <w:bCs w:val="0"/>
          <w:snapToGrid w:val="0"/>
          <w:color w:val="auto"/>
          <w:kern w:val="2"/>
          <w:sz w:val="24"/>
          <w:szCs w:val="24"/>
          <w:highlight w:val="none"/>
          <w:lang w:val="en-US" w:eastAsia="zh-CN" w:bidi="ar-SA"/>
        </w:rPr>
        <w:t>时</w:t>
      </w:r>
      <w:r>
        <w:rPr>
          <w:rFonts w:hint="eastAsia" w:cs="Times New Roman"/>
          <w:b w:val="0"/>
          <w:bCs w:val="0"/>
          <w:snapToGrid w:val="0"/>
          <w:color w:val="auto"/>
          <w:kern w:val="2"/>
          <w:sz w:val="24"/>
          <w:szCs w:val="24"/>
          <w:highlight w:val="none"/>
          <w:lang w:val="en-US" w:eastAsia="zh-CN" w:bidi="ar-SA"/>
        </w:rPr>
        <w:t>00</w:t>
      </w:r>
      <w:r>
        <w:rPr>
          <w:rFonts w:hint="eastAsia" w:ascii="宋体" w:hAnsi="宋体" w:eastAsia="宋体" w:cs="Times New Roman"/>
          <w:b w:val="0"/>
          <w:bCs w:val="0"/>
          <w:snapToGrid w:val="0"/>
          <w:color w:val="auto"/>
          <w:kern w:val="2"/>
          <w:sz w:val="24"/>
          <w:szCs w:val="24"/>
          <w:highlight w:val="none"/>
          <w:lang w:val="en-US" w:eastAsia="zh-CN" w:bidi="ar-SA"/>
        </w:rPr>
        <w:t>分</w:t>
      </w:r>
      <w:r>
        <w:rPr>
          <w:rFonts w:hint="eastAsia" w:ascii="宋体" w:hAnsi="宋体" w:eastAsia="宋体" w:cs="Times New Roman"/>
          <w:b w:val="0"/>
          <w:bCs w:val="0"/>
          <w:snapToGrid w:val="0"/>
          <w:color w:val="auto"/>
          <w:kern w:val="2"/>
          <w:sz w:val="24"/>
          <w:szCs w:val="24"/>
          <w:highlight w:val="none"/>
          <w:lang w:val="en-US" w:eastAsia="zh-CN" w:bidi="ar-SA"/>
        </w:rPr>
        <w:t>。</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imes New Roman"/>
          <w:b w:val="0"/>
          <w:bCs w:val="0"/>
          <w:snapToGrid w:val="0"/>
          <w:color w:val="auto"/>
          <w:kern w:val="2"/>
          <w:sz w:val="24"/>
          <w:szCs w:val="24"/>
          <w:highlight w:val="none"/>
          <w:lang w:val="en-US" w:eastAsia="zh-CN" w:bidi="ar-SA"/>
        </w:rPr>
      </w:pPr>
      <w:r>
        <w:rPr>
          <w:rFonts w:hint="eastAsia" w:ascii="宋体" w:hAnsi="宋体" w:eastAsia="宋体" w:cs="Times New Roman"/>
          <w:b w:val="0"/>
          <w:bCs w:val="0"/>
          <w:snapToGrid w:val="0"/>
          <w:color w:val="auto"/>
          <w:kern w:val="2"/>
          <w:sz w:val="24"/>
          <w:szCs w:val="24"/>
          <w:highlight w:val="none"/>
          <w:lang w:val="en-US" w:eastAsia="zh-CN" w:bidi="ar-SA"/>
        </w:rPr>
        <w:t>(二)投标文件递交地点：</w:t>
      </w:r>
      <w:r>
        <w:rPr>
          <w:rFonts w:hint="eastAsia" w:ascii="宋体" w:hAnsi="宋体" w:eastAsia="宋体" w:cs="Times New Roman"/>
          <w:b w:val="0"/>
          <w:bCs w:val="0"/>
          <w:snapToGrid w:val="0"/>
          <w:color w:val="auto"/>
          <w:kern w:val="2"/>
          <w:sz w:val="24"/>
          <w:szCs w:val="24"/>
          <w:highlight w:val="none"/>
          <w:lang w:val="zh-CN" w:eastAsia="zh-CN" w:bidi="ar-SA"/>
        </w:rPr>
        <w:t>成都市高新区吉庆三路333号蜀都中心二期一号楼一单元401号</w:t>
      </w:r>
      <w:r>
        <w:rPr>
          <w:rFonts w:hint="eastAsia" w:ascii="宋体" w:hAnsi="宋体" w:eastAsia="宋体" w:cs="Times New Roman"/>
          <w:b w:val="0"/>
          <w:bCs w:val="0"/>
          <w:snapToGrid w:val="0"/>
          <w:color w:val="auto"/>
          <w:kern w:val="2"/>
          <w:sz w:val="24"/>
          <w:szCs w:val="24"/>
          <w:highlight w:val="none"/>
          <w:lang w:val="en-US" w:eastAsia="zh-CN" w:bidi="ar-SA"/>
        </w:rPr>
        <w:t>本项目开标室。</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imes New Roman"/>
          <w:snapToGrid w:val="0"/>
          <w:color w:val="auto"/>
          <w:kern w:val="2"/>
          <w:sz w:val="24"/>
          <w:szCs w:val="24"/>
          <w:highlight w:val="none"/>
          <w:lang w:val="en-US" w:eastAsia="zh-CN" w:bidi="ar-SA"/>
        </w:rPr>
      </w:pPr>
      <w:r>
        <w:rPr>
          <w:rFonts w:hint="eastAsia" w:ascii="宋体" w:hAnsi="宋体" w:eastAsia="宋体" w:cs="Times New Roman"/>
          <w:b w:val="0"/>
          <w:bCs w:val="0"/>
          <w:snapToGrid w:val="0"/>
          <w:color w:val="auto"/>
          <w:kern w:val="2"/>
          <w:sz w:val="24"/>
          <w:szCs w:val="24"/>
          <w:highlight w:val="none"/>
          <w:lang w:val="en-US" w:eastAsia="zh-CN" w:bidi="ar-SA"/>
        </w:rPr>
        <w:t>(三)投标文件必须在投标截止时间前送达开标地点，逾期送达的投标文件恕不接收，本次招标不接受</w:t>
      </w:r>
      <w:r>
        <w:rPr>
          <w:rFonts w:hint="eastAsia" w:ascii="宋体" w:hAnsi="宋体" w:eastAsia="宋体" w:cs="Times New Roman"/>
          <w:snapToGrid w:val="0"/>
          <w:color w:val="auto"/>
          <w:kern w:val="2"/>
          <w:sz w:val="24"/>
          <w:szCs w:val="24"/>
          <w:highlight w:val="none"/>
          <w:lang w:val="en-US" w:eastAsia="zh-CN" w:bidi="ar-SA"/>
        </w:rPr>
        <w:t>邮寄的投标文件。</w:t>
      </w:r>
    </w:p>
    <w:p>
      <w:pPr>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jc w:val="left"/>
        <w:textAlignment w:val="auto"/>
        <w:rPr>
          <w:rFonts w:hint="eastAsia" w:ascii="宋体" w:hAnsi="宋体" w:eastAsia="宋体" w:cs="Times New Roman"/>
          <w:b/>
          <w:bCs/>
          <w:snapToGrid w:val="0"/>
          <w:color w:val="auto"/>
          <w:kern w:val="2"/>
          <w:sz w:val="24"/>
          <w:szCs w:val="24"/>
          <w:highlight w:val="none"/>
          <w:lang w:val="en-US" w:eastAsia="zh-CN" w:bidi="ar-SA"/>
        </w:rPr>
      </w:pPr>
      <w:r>
        <w:rPr>
          <w:rFonts w:hint="eastAsia" w:ascii="宋体" w:hAnsi="宋体" w:eastAsia="宋体" w:cs="Times New Roman"/>
          <w:b/>
          <w:bCs/>
          <w:snapToGrid w:val="0"/>
          <w:color w:val="auto"/>
          <w:kern w:val="2"/>
          <w:sz w:val="24"/>
          <w:szCs w:val="24"/>
          <w:highlight w:val="none"/>
          <w:lang w:val="en-US" w:eastAsia="zh-CN" w:bidi="ar-SA"/>
        </w:rPr>
        <w:t>提交投标文件截止时间及开标时间：</w:t>
      </w:r>
      <w:r>
        <w:rPr>
          <w:rFonts w:hint="eastAsia" w:ascii="宋体" w:hAnsi="宋体" w:eastAsia="宋体" w:cs="Times New Roman"/>
          <w:b w:val="0"/>
          <w:bCs w:val="0"/>
          <w:snapToGrid w:val="0"/>
          <w:color w:val="auto"/>
          <w:kern w:val="2"/>
          <w:sz w:val="24"/>
          <w:szCs w:val="24"/>
          <w:highlight w:val="none"/>
          <w:lang w:val="en-US" w:eastAsia="zh-CN" w:bidi="ar-SA"/>
        </w:rPr>
        <w:t>2022年</w:t>
      </w:r>
      <w:r>
        <w:rPr>
          <w:rFonts w:hint="eastAsia" w:cs="Times New Roman"/>
          <w:b w:val="0"/>
          <w:bCs w:val="0"/>
          <w:snapToGrid w:val="0"/>
          <w:color w:val="auto"/>
          <w:kern w:val="2"/>
          <w:sz w:val="24"/>
          <w:szCs w:val="24"/>
          <w:highlight w:val="none"/>
          <w:lang w:val="en-US" w:eastAsia="zh-CN" w:bidi="ar-SA"/>
        </w:rPr>
        <w:t>8</w:t>
      </w:r>
      <w:r>
        <w:rPr>
          <w:rFonts w:hint="eastAsia" w:ascii="宋体" w:hAnsi="宋体" w:eastAsia="宋体" w:cs="Times New Roman"/>
          <w:b w:val="0"/>
          <w:bCs w:val="0"/>
          <w:snapToGrid w:val="0"/>
          <w:color w:val="auto"/>
          <w:kern w:val="2"/>
          <w:sz w:val="24"/>
          <w:szCs w:val="24"/>
          <w:highlight w:val="none"/>
          <w:lang w:val="en-US" w:eastAsia="zh-CN" w:bidi="ar-SA"/>
        </w:rPr>
        <w:t>月</w:t>
      </w:r>
      <w:r>
        <w:rPr>
          <w:rFonts w:hint="eastAsia" w:cs="Times New Roman"/>
          <w:b w:val="0"/>
          <w:bCs w:val="0"/>
          <w:snapToGrid w:val="0"/>
          <w:color w:val="auto"/>
          <w:kern w:val="2"/>
          <w:sz w:val="24"/>
          <w:szCs w:val="24"/>
          <w:highlight w:val="none"/>
          <w:lang w:val="en-US" w:eastAsia="zh-CN" w:bidi="ar-SA"/>
        </w:rPr>
        <w:t>17</w:t>
      </w:r>
      <w:r>
        <w:rPr>
          <w:rFonts w:hint="eastAsia" w:ascii="宋体" w:hAnsi="宋体" w:eastAsia="宋体" w:cs="Times New Roman"/>
          <w:b w:val="0"/>
          <w:bCs w:val="0"/>
          <w:snapToGrid w:val="0"/>
          <w:color w:val="auto"/>
          <w:kern w:val="2"/>
          <w:sz w:val="24"/>
          <w:szCs w:val="24"/>
          <w:highlight w:val="none"/>
          <w:lang w:val="en-US" w:eastAsia="zh-CN" w:bidi="ar-SA"/>
        </w:rPr>
        <w:t>日</w:t>
      </w:r>
      <w:r>
        <w:rPr>
          <w:rFonts w:hint="eastAsia" w:cs="Times New Roman"/>
          <w:b w:val="0"/>
          <w:bCs w:val="0"/>
          <w:snapToGrid w:val="0"/>
          <w:color w:val="auto"/>
          <w:kern w:val="2"/>
          <w:sz w:val="24"/>
          <w:szCs w:val="24"/>
          <w:highlight w:val="none"/>
          <w:lang w:val="en-US" w:eastAsia="zh-CN" w:bidi="ar-SA"/>
        </w:rPr>
        <w:t>10</w:t>
      </w:r>
      <w:r>
        <w:rPr>
          <w:rFonts w:hint="eastAsia" w:ascii="宋体" w:hAnsi="宋体" w:eastAsia="宋体" w:cs="Times New Roman"/>
          <w:b w:val="0"/>
          <w:bCs w:val="0"/>
          <w:snapToGrid w:val="0"/>
          <w:color w:val="auto"/>
          <w:kern w:val="2"/>
          <w:sz w:val="24"/>
          <w:szCs w:val="24"/>
          <w:highlight w:val="none"/>
          <w:lang w:val="en-US" w:eastAsia="zh-CN" w:bidi="ar-SA"/>
        </w:rPr>
        <w:t>时</w:t>
      </w:r>
      <w:r>
        <w:rPr>
          <w:rFonts w:hint="eastAsia" w:cs="Times New Roman"/>
          <w:b w:val="0"/>
          <w:bCs w:val="0"/>
          <w:snapToGrid w:val="0"/>
          <w:color w:val="auto"/>
          <w:kern w:val="2"/>
          <w:sz w:val="24"/>
          <w:szCs w:val="24"/>
          <w:highlight w:val="none"/>
          <w:lang w:val="en-US" w:eastAsia="zh-CN" w:bidi="ar-SA"/>
        </w:rPr>
        <w:t>00</w:t>
      </w:r>
      <w:r>
        <w:rPr>
          <w:rFonts w:hint="eastAsia" w:ascii="宋体" w:hAnsi="宋体" w:eastAsia="宋体" w:cs="Times New Roman"/>
          <w:b w:val="0"/>
          <w:bCs w:val="0"/>
          <w:snapToGrid w:val="0"/>
          <w:color w:val="auto"/>
          <w:kern w:val="2"/>
          <w:sz w:val="24"/>
          <w:szCs w:val="24"/>
          <w:highlight w:val="none"/>
          <w:lang w:val="en-US" w:eastAsia="zh-CN" w:bidi="ar-SA"/>
        </w:rPr>
        <w:t>分</w:t>
      </w:r>
      <w:r>
        <w:rPr>
          <w:rFonts w:hint="eastAsia" w:ascii="宋体" w:hAnsi="宋体" w:eastAsia="宋体" w:cs="Times New Roman"/>
          <w:b w:val="0"/>
          <w:bCs w:val="0"/>
          <w:snapToGrid w:val="0"/>
          <w:color w:val="auto"/>
          <w:kern w:val="2"/>
          <w:sz w:val="24"/>
          <w:szCs w:val="24"/>
          <w:highlight w:val="none"/>
          <w:lang w:val="en-US" w:eastAsia="zh-CN" w:bidi="ar-SA"/>
        </w:rPr>
        <w:t>。</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b/>
          <w:bCs/>
          <w:color w:val="auto"/>
          <w:highlight w:val="none"/>
        </w:rPr>
      </w:pPr>
      <w:r>
        <w:rPr>
          <w:rFonts w:hint="eastAsia" w:ascii="宋体" w:hAnsi="宋体" w:eastAsia="宋体" w:cs="Times New Roman"/>
          <w:b/>
          <w:bCs/>
          <w:snapToGrid w:val="0"/>
          <w:color w:val="auto"/>
          <w:kern w:val="2"/>
          <w:sz w:val="24"/>
          <w:szCs w:val="24"/>
          <w:highlight w:val="none"/>
          <w:lang w:val="en-US" w:eastAsia="zh-CN" w:bidi="ar-SA"/>
        </w:rPr>
        <w:t>开标地点：</w:t>
      </w:r>
      <w:r>
        <w:rPr>
          <w:rFonts w:hint="eastAsia" w:ascii="宋体" w:hAnsi="宋体" w:eastAsia="宋体" w:cs="Times New Roman"/>
          <w:b w:val="0"/>
          <w:bCs w:val="0"/>
          <w:snapToGrid w:val="0"/>
          <w:color w:val="auto"/>
          <w:kern w:val="2"/>
          <w:sz w:val="24"/>
          <w:szCs w:val="24"/>
          <w:highlight w:val="none"/>
          <w:lang w:val="zh-CN" w:eastAsia="zh-CN" w:bidi="ar-SA"/>
        </w:rPr>
        <w:t>成都市高新区吉庆三路333号蜀都中心二期一号楼一单元401号</w:t>
      </w:r>
      <w:r>
        <w:rPr>
          <w:rFonts w:hint="eastAsia" w:ascii="宋体" w:hAnsi="宋体" w:eastAsia="宋体" w:cs="Times New Roman"/>
          <w:b w:val="0"/>
          <w:bCs w:val="0"/>
          <w:snapToGrid w:val="0"/>
          <w:color w:val="auto"/>
          <w:kern w:val="2"/>
          <w:sz w:val="24"/>
          <w:szCs w:val="24"/>
          <w:highlight w:val="none"/>
          <w:lang w:val="en-US" w:eastAsia="zh-CN" w:bidi="ar-SA"/>
        </w:rPr>
        <w:t>本项目开标室</w:t>
      </w:r>
      <w:r>
        <w:rPr>
          <w:rFonts w:hint="eastAsia"/>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eastAsia="zh-CN"/>
        </w:rPr>
      </w:pPr>
      <w:r>
        <w:rPr>
          <w:rFonts w:hint="eastAsia" w:cs="宋体"/>
          <w:b/>
          <w:bCs/>
          <w:color w:val="auto"/>
          <w:highlight w:val="none"/>
        </w:rPr>
        <w:t>本投标邀请在“四川政府采购网”以公告形式发布</w:t>
      </w:r>
      <w:r>
        <w:rPr>
          <w:rFonts w:hint="eastAsia"/>
          <w:b w:val="0"/>
          <w:bCs w:val="0"/>
          <w:color w:val="auto"/>
          <w:highlight w:val="none"/>
          <w:lang w:eastAsia="zh-CN"/>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供应商信用融资：</w:t>
      </w:r>
    </w:p>
    <w:p>
      <w:pPr>
        <w:pStyle w:val="29"/>
        <w:keepNext w:val="0"/>
        <w:keepLines w:val="0"/>
        <w:pageBreakBefore w:val="0"/>
        <w:widowControl w:val="0"/>
        <w:kinsoku/>
        <w:overflowPunct/>
        <w:autoSpaceDE/>
        <w:autoSpaceDN/>
        <w:bidi w:val="0"/>
        <w:adjustRightInd w:val="0"/>
        <w:snapToGrid w:val="0"/>
        <w:spacing w:line="440" w:lineRule="exact"/>
        <w:jc w:val="both"/>
        <w:textAlignment w:val="auto"/>
        <w:rPr>
          <w:rFonts w:hint="eastAsia"/>
          <w:color w:val="auto"/>
          <w:highlight w:val="none"/>
        </w:rPr>
      </w:pPr>
      <w:r>
        <w:rPr>
          <w:rFonts w:hint="eastAsia"/>
          <w:color w:val="auto"/>
          <w:highlight w:val="none"/>
        </w:rPr>
        <w:t>根据《四川省财政厅关于推进四川省政府采购供应商信用融资工作的通知》</w:t>
      </w:r>
      <w:r>
        <w:rPr>
          <w:rFonts w:hint="eastAsia"/>
          <w:color w:val="auto"/>
          <w:highlight w:val="none"/>
          <w:lang w:eastAsia="zh-CN"/>
        </w:rPr>
        <w:t>(</w:t>
      </w:r>
      <w:r>
        <w:rPr>
          <w:rFonts w:hint="eastAsia"/>
          <w:color w:val="auto"/>
          <w:highlight w:val="none"/>
        </w:rPr>
        <w:t>川财采</w:t>
      </w:r>
      <w:r>
        <w:rPr>
          <w:rFonts w:hint="eastAsia"/>
          <w:color w:val="auto"/>
          <w:highlight w:val="none"/>
          <w:lang w:val="en-US" w:eastAsia="zh-CN"/>
        </w:rPr>
        <w:t>〔</w:t>
      </w:r>
      <w:r>
        <w:rPr>
          <w:rFonts w:hint="eastAsia"/>
          <w:color w:val="auto"/>
          <w:highlight w:val="none"/>
        </w:rPr>
        <w:t>2018</w:t>
      </w:r>
      <w:r>
        <w:rPr>
          <w:rFonts w:hint="eastAsia"/>
          <w:color w:val="auto"/>
          <w:highlight w:val="none"/>
          <w:lang w:val="en-US" w:eastAsia="zh-CN"/>
        </w:rPr>
        <w:t>〕</w:t>
      </w:r>
      <w:r>
        <w:rPr>
          <w:rFonts w:hint="eastAsia"/>
          <w:color w:val="auto"/>
          <w:highlight w:val="none"/>
        </w:rPr>
        <w:t>123号</w:t>
      </w:r>
      <w:r>
        <w:rPr>
          <w:rFonts w:hint="eastAsia"/>
          <w:color w:val="auto"/>
          <w:highlight w:val="none"/>
          <w:lang w:eastAsia="zh-CN"/>
        </w:rPr>
        <w:t>)、</w:t>
      </w:r>
      <w:r>
        <w:rPr>
          <w:rFonts w:hint="eastAsia"/>
          <w:color w:val="auto"/>
          <w:highlight w:val="none"/>
          <w:lang w:val="en-US" w:eastAsia="zh-CN"/>
        </w:rPr>
        <w:t>《成都市中小企业政府采购信用融资暂行办法及其实施方案》(成财采〔2019〕17号)、《成都市财政局关于优化政府采购领域营商环境的通知》成财采发〔2019〕19号、《成都市财政局 中国人民银行成都分行营业管理部关于印发成都市政府采购应对新冠肺炎疫情促进中小企业发展实施细则的通知》成财制〔2020〕2号)等</w:t>
      </w:r>
      <w:r>
        <w:rPr>
          <w:rFonts w:hint="eastAsia"/>
          <w:color w:val="auto"/>
          <w:highlight w:val="none"/>
        </w:rPr>
        <w:t>文件要求，为助力解决政府采购中标、成交供应商资金不足、融资难、融资贵的困难，促进供应商依法诚信参加政府采购活动，有融资需求的供应商可根据</w:t>
      </w:r>
      <w:r>
        <w:rPr>
          <w:rFonts w:hint="eastAsia"/>
          <w:color w:val="auto"/>
          <w:highlight w:val="none"/>
          <w:lang w:eastAsia="zh-CN"/>
        </w:rPr>
        <w:t>“</w:t>
      </w:r>
      <w:r>
        <w:rPr>
          <w:rFonts w:hint="eastAsia"/>
          <w:color w:val="auto"/>
          <w:highlight w:val="none"/>
        </w:rPr>
        <w:t>四川政府采购网</w:t>
      </w:r>
      <w:r>
        <w:rPr>
          <w:rFonts w:hint="eastAsia"/>
          <w:color w:val="auto"/>
          <w:highlight w:val="none"/>
          <w:lang w:eastAsia="zh-CN"/>
        </w:rPr>
        <w:t>”</w:t>
      </w:r>
      <w:r>
        <w:rPr>
          <w:rFonts w:hint="eastAsia"/>
          <w:color w:val="auto"/>
          <w:highlight w:val="none"/>
        </w:rPr>
        <w:t>公示的银行及其“政采贷”产品，自行选择符合自身情况的“政采贷”银行及其产品，凭</w:t>
      </w:r>
      <w:r>
        <w:rPr>
          <w:rFonts w:hint="eastAsia"/>
          <w:color w:val="auto"/>
          <w:highlight w:val="none"/>
          <w:lang w:val="en-US" w:eastAsia="zh-CN"/>
        </w:rPr>
        <w:t>中标、成交</w:t>
      </w:r>
      <w:r>
        <w:rPr>
          <w:rFonts w:hint="eastAsia"/>
          <w:color w:val="auto"/>
          <w:highlight w:val="none"/>
        </w:rPr>
        <w:t>通知书向银行提出贷款意向申请，并按照相关规定要求和贷款流程申请信用融资贷款</w:t>
      </w:r>
      <w:r>
        <w:rPr>
          <w:rFonts w:hint="eastAsia"/>
          <w:color w:val="auto"/>
          <w:highlight w:val="none"/>
          <w:lang w:val="en-US" w:eastAsia="zh-CN"/>
        </w:rPr>
        <w:t>及执行相关采购政策</w:t>
      </w:r>
      <w:r>
        <w:rPr>
          <w:rFonts w:hint="eastAsia"/>
          <w:color w:val="auto"/>
          <w:highlight w:val="none"/>
        </w:rPr>
        <w:t>。</w:t>
      </w:r>
    </w:p>
    <w:p>
      <w:pPr>
        <w:pStyle w:val="26"/>
        <w:keepNext w:val="0"/>
        <w:keepLines w:val="0"/>
        <w:pageBreakBefore w:val="0"/>
        <w:widowControl w:val="0"/>
        <w:numPr>
          <w:ilvl w:val="0"/>
          <w:numId w:val="8"/>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对本次招标提出询问，请按以下方式联系</w:t>
      </w:r>
      <w:r>
        <w:rPr>
          <w:rFonts w:hint="eastAsia"/>
          <w:b/>
          <w:bCs/>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w:t>
      </w:r>
      <w:r>
        <w:rPr>
          <w:rFonts w:hint="eastAsia"/>
          <w:color w:val="auto"/>
          <w:highlight w:val="none"/>
          <w:lang w:eastAsia="zh-CN"/>
        </w:rPr>
        <w:t>成都市技师学院</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cs="宋体"/>
          <w:color w:val="auto"/>
          <w:highlight w:val="none"/>
        </w:rPr>
      </w:pPr>
      <w:r>
        <w:rPr>
          <w:rFonts w:hint="eastAsia" w:cs="宋体"/>
          <w:color w:val="auto"/>
          <w:highlight w:val="none"/>
        </w:rPr>
        <w:t>地    址：成都市郫都区红光</w:t>
      </w:r>
      <w:r>
        <w:rPr>
          <w:rFonts w:hint="eastAsia"/>
          <w:color w:val="auto"/>
          <w:highlight w:val="none"/>
        </w:rPr>
        <w:t>街道</w:t>
      </w:r>
      <w:r>
        <w:rPr>
          <w:rFonts w:hint="eastAsia" w:cs="宋体"/>
          <w:color w:val="auto"/>
          <w:highlight w:val="none"/>
        </w:rPr>
        <w:t xml:space="preserve">港通北三路1899号 </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eastAsia="宋体" w:cs="宋体"/>
          <w:color w:val="auto"/>
          <w:highlight w:val="none"/>
          <w:lang w:eastAsia="zh-CN"/>
        </w:rPr>
      </w:pPr>
      <w:r>
        <w:rPr>
          <w:rFonts w:hint="eastAsia" w:cs="宋体"/>
          <w:color w:val="auto"/>
          <w:highlight w:val="none"/>
        </w:rPr>
        <w:t>联 系 人：</w:t>
      </w:r>
      <w:r>
        <w:rPr>
          <w:rFonts w:hint="eastAsia" w:cs="宋体"/>
          <w:color w:val="auto"/>
          <w:highlight w:val="none"/>
          <w:lang w:val="en-US" w:eastAsia="zh-CN"/>
        </w:rPr>
        <w:t>何倩</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s="宋体"/>
          <w:color w:val="auto"/>
          <w:highlight w:val="none"/>
        </w:rPr>
        <w:t>联系方式：028-64907283</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s="宋体"/>
          <w:color w:val="auto"/>
          <w:kern w:val="2"/>
          <w:sz w:val="24"/>
          <w:szCs w:val="24"/>
          <w:highlight w:val="none"/>
          <w:lang w:val="en-US" w:eastAsia="zh-CN" w:bidi="ar"/>
        </w:rPr>
        <w:t>王朝钢</w:t>
      </w:r>
      <w:r>
        <w:rPr>
          <w:rFonts w:hint="eastAsia"/>
          <w:color w:val="auto"/>
          <w:highlight w:val="non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联系电话：028-84638556、84882960转</w:t>
      </w:r>
      <w:r>
        <w:rPr>
          <w:rFonts w:hint="eastAsia"/>
          <w:color w:val="auto"/>
          <w:highlight w:val="none"/>
          <w:lang w:val="en-US" w:eastAsia="zh-CN"/>
        </w:rPr>
        <w:t>663</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5"/>
        <w:bidi w:val="0"/>
        <w:rPr>
          <w:rFonts w:hint="eastAsia"/>
          <w:color w:val="auto"/>
          <w:highlight w:val="none"/>
          <w:lang w:val="en-US" w:eastAsia="zh-CN"/>
        </w:rPr>
      </w:pPr>
      <w:r>
        <w:rPr>
          <w:rFonts w:hint="eastAsia"/>
          <w:color w:val="auto"/>
          <w:highlight w:val="none"/>
        </w:rPr>
        <w:br w:type="page"/>
      </w:r>
      <w:bookmarkEnd w:id="14"/>
      <w:bookmarkEnd w:id="15"/>
      <w:bookmarkEnd w:id="16"/>
      <w:bookmarkEnd w:id="17"/>
      <w:bookmarkEnd w:id="18"/>
      <w:bookmarkStart w:id="20" w:name="_Toc25668"/>
      <w:bookmarkStart w:id="21" w:name="_Toc13811"/>
      <w:bookmarkStart w:id="22" w:name="_Toc7416"/>
      <w:bookmarkStart w:id="23" w:name="_Toc2482"/>
      <w:bookmarkStart w:id="24" w:name="_Toc30888"/>
      <w:r>
        <w:rPr>
          <w:rFonts w:hint="eastAsia"/>
          <w:color w:val="auto"/>
          <w:highlight w:val="none"/>
          <w:lang w:val="en-US" w:eastAsia="zh-CN"/>
        </w:rPr>
        <w:t>投标人须知</w:t>
      </w:r>
      <w:bookmarkEnd w:id="20"/>
      <w:bookmarkEnd w:id="21"/>
      <w:bookmarkEnd w:id="22"/>
      <w:bookmarkEnd w:id="23"/>
      <w:bookmarkEnd w:id="24"/>
    </w:p>
    <w:p>
      <w:pPr>
        <w:pStyle w:val="46"/>
        <w:bidi w:val="0"/>
        <w:rPr>
          <w:rFonts w:hint="eastAsia"/>
          <w:color w:val="auto"/>
          <w:highlight w:val="none"/>
        </w:rPr>
      </w:pPr>
      <w:bookmarkStart w:id="25" w:name="_Toc213496268"/>
      <w:bookmarkStart w:id="26" w:name="_Toc327196261"/>
      <w:bookmarkStart w:id="27" w:name="_Toc213396760"/>
      <w:bookmarkStart w:id="28" w:name="_Toc213397010"/>
      <w:bookmarkStart w:id="29" w:name="_Toc7841"/>
      <w:bookmarkStart w:id="30" w:name="_Toc14035"/>
      <w:bookmarkStart w:id="31" w:name="_Toc28824"/>
      <w:bookmarkStart w:id="32" w:name="_Toc189727030"/>
      <w:bookmarkStart w:id="33" w:name="_Toc213396946"/>
      <w:bookmarkStart w:id="34" w:name="_Toc31215"/>
      <w:bookmarkStart w:id="35" w:name="_Toc217446032"/>
      <w:bookmarkStart w:id="36" w:name="_Toc6734"/>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25"/>
      <w:bookmarkEnd w:id="26"/>
      <w:bookmarkEnd w:id="27"/>
      <w:bookmarkEnd w:id="28"/>
      <w:bookmarkEnd w:id="29"/>
      <w:bookmarkEnd w:id="30"/>
      <w:bookmarkEnd w:id="31"/>
      <w:bookmarkEnd w:id="32"/>
      <w:bookmarkEnd w:id="33"/>
      <w:bookmarkEnd w:id="34"/>
      <w:bookmarkEnd w:id="35"/>
      <w:bookmarkEnd w:id="36"/>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keepNext w:val="0"/>
              <w:keepLines w:val="0"/>
              <w:pageBreakBefore w:val="0"/>
              <w:widowControl w:val="0"/>
              <w:numPr>
                <w:ilvl w:val="0"/>
                <w:numId w:val="0"/>
              </w:numPr>
              <w:kinsoku/>
              <w:wordWrap w:val="0"/>
              <w:overflow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b/>
                <w:bCs/>
                <w:color w:val="auto"/>
                <w:sz w:val="21"/>
                <w:szCs w:val="21"/>
                <w:highlight w:val="none"/>
                <w:lang w:val="zh-CN"/>
              </w:rPr>
            </w:pPr>
            <w:bookmarkStart w:id="37" w:name="_Toc327196262"/>
            <w:r>
              <w:rPr>
                <w:rFonts w:hint="eastAsia" w:ascii="宋体" w:hAnsi="宋体" w:eastAsia="宋体" w:cs="宋体"/>
                <w:b/>
                <w:bCs/>
                <w:color w:val="auto"/>
                <w:sz w:val="21"/>
                <w:szCs w:val="21"/>
                <w:highlight w:val="none"/>
                <w:lang w:val="zh-CN"/>
              </w:rPr>
              <w:t>序号</w:t>
            </w: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en-US" w:eastAsia="zh-CN"/>
              </w:rPr>
              <w:t>条款名称</w:t>
            </w:r>
            <w:r>
              <w:rPr>
                <w:rFonts w:hint="eastAsia" w:ascii="宋体" w:hAnsi="宋体" w:eastAsia="宋体" w:cs="宋体"/>
                <w:b/>
                <w:bCs/>
                <w:color w:val="auto"/>
                <w:sz w:val="21"/>
                <w:szCs w:val="21"/>
                <w:highlight w:val="none"/>
                <w:lang w:val="zh-CN"/>
              </w:rPr>
              <w:t xml:space="preserve"> </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采购预算</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预算为人民币</w:t>
            </w:r>
            <w:r>
              <w:rPr>
                <w:rFonts w:hint="eastAsia" w:ascii="宋体" w:hAnsi="宋体" w:eastAsia="宋体" w:cs="宋体"/>
                <w:color w:val="auto"/>
                <w:sz w:val="21"/>
                <w:szCs w:val="21"/>
                <w:highlight w:val="none"/>
                <w:lang w:val="en-US" w:eastAsia="zh-CN"/>
              </w:rPr>
              <w:t>160万</w:t>
            </w:r>
            <w:r>
              <w:rPr>
                <w:rFonts w:hint="eastAsia" w:ascii="宋体" w:hAnsi="宋体" w:eastAsia="宋体" w:cs="宋体"/>
                <w:color w:val="auto"/>
                <w:sz w:val="21"/>
                <w:szCs w:val="21"/>
                <w:highlight w:val="none"/>
                <w:lang w:val="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单价最高限价及报价要求</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本项目单价最高限价为：40岁以下在职【男：985元/人次，女：已婚1350元/人次，未婚1155元/人次】；40岁及以上在职【男：1095元/人次，女：已婚1507元/人次，未婚1312元/人次】；退休职工【男：1095元/人次，女：1270元/人次】</w:t>
            </w:r>
            <w:r>
              <w:rPr>
                <w:rFonts w:hint="eastAsia" w:ascii="宋体" w:hAnsi="宋体" w:eastAsia="宋体" w:cs="宋体"/>
                <w:color w:val="auto"/>
                <w:sz w:val="21"/>
                <w:szCs w:val="21"/>
                <w:highlight w:val="none"/>
                <w:lang w:val="zh-CN"/>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投标报价</w:t>
            </w:r>
            <w:r>
              <w:rPr>
                <w:rFonts w:hint="eastAsia" w:ascii="宋体" w:hAnsi="宋体" w:eastAsia="宋体" w:cs="宋体"/>
                <w:color w:val="auto"/>
                <w:sz w:val="21"/>
                <w:szCs w:val="21"/>
                <w:highlight w:val="none"/>
                <w:lang w:val="zh-CN"/>
              </w:rPr>
              <w:t>不</w:t>
            </w:r>
            <w:r>
              <w:rPr>
                <w:rFonts w:hint="eastAsia" w:ascii="宋体" w:hAnsi="宋体" w:eastAsia="宋体" w:cs="宋体"/>
                <w:color w:val="auto"/>
                <w:sz w:val="21"/>
                <w:szCs w:val="21"/>
                <w:highlight w:val="none"/>
                <w:lang w:val="en-US" w:eastAsia="zh-CN"/>
              </w:rPr>
              <w:t>得</w:t>
            </w:r>
            <w:r>
              <w:rPr>
                <w:rFonts w:hint="eastAsia" w:ascii="宋体" w:hAnsi="宋体" w:eastAsia="宋体" w:cs="宋体"/>
                <w:color w:val="auto"/>
                <w:sz w:val="21"/>
                <w:szCs w:val="21"/>
                <w:highlight w:val="none"/>
                <w:lang w:val="zh-CN"/>
              </w:rPr>
              <w:t>超过</w:t>
            </w:r>
            <w:r>
              <w:rPr>
                <w:rFonts w:hint="eastAsia" w:ascii="宋体" w:hAnsi="宋体" w:eastAsia="宋体" w:cs="宋体"/>
                <w:color w:val="auto"/>
                <w:sz w:val="21"/>
                <w:szCs w:val="21"/>
                <w:highlight w:val="none"/>
                <w:lang w:val="en-US" w:eastAsia="zh-CN"/>
              </w:rPr>
              <w:t>单价最高限价</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rPr>
              <w:t>否则将被视为无效投标</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项目属性</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本项目所属行业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本项目所属行业为其他未列明行业</w:t>
            </w:r>
            <w:r>
              <w:rPr>
                <w:rFonts w:hint="eastAsia" w:ascii="宋体" w:hAnsi="宋体" w:eastAsia="宋体" w:cs="宋体"/>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定向采购</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本项目为</w:t>
            </w:r>
            <w:r>
              <w:rPr>
                <w:rFonts w:hint="eastAsia" w:ascii="宋体" w:hAnsi="宋体" w:eastAsia="宋体" w:cs="宋体"/>
                <w:color w:val="auto"/>
                <w:sz w:val="21"/>
                <w:szCs w:val="21"/>
                <w:highlight w:val="none"/>
                <w:lang w:val="zh-CN"/>
              </w:rPr>
              <w:t>非专门面向中小企业</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本国</w:t>
            </w:r>
            <w:r>
              <w:rPr>
                <w:rFonts w:hint="eastAsia" w:ascii="宋体" w:hAnsi="宋体" w:eastAsia="宋体" w:cs="宋体"/>
                <w:color w:val="auto"/>
                <w:sz w:val="21"/>
                <w:szCs w:val="21"/>
                <w:highlight w:val="none"/>
                <w:lang w:val="en-US" w:eastAsia="zh-CN"/>
              </w:rPr>
              <w:t>服务</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根据《中华人民共和国政府采购法》第十条的规定，本项目采购本国</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采购方式</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评标方法</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综合评分法</w:t>
            </w:r>
            <w:r>
              <w:rPr>
                <w:rFonts w:hint="eastAsia" w:ascii="宋体" w:hAnsi="宋体" w:eastAsia="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val="0"/>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竞争范围</w:t>
            </w:r>
          </w:p>
        </w:tc>
        <w:tc>
          <w:tcPr>
            <w:tcW w:w="7244" w:type="dxa"/>
            <w:vAlign w:val="center"/>
          </w:tcPr>
          <w:p>
            <w:pPr>
              <w:pStyle w:val="45"/>
              <w:keepNext w:val="0"/>
              <w:keepLines w:val="0"/>
              <w:pageBreakBefore w:val="0"/>
              <w:widowControl w:val="0"/>
              <w:kinsoku/>
              <w:wordWrap w:val="0"/>
              <w:overflowPunct/>
              <w:topLinePunct w:val="0"/>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公开竞争</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合同定价方式</w:t>
            </w:r>
          </w:p>
          <w:p>
            <w:pPr>
              <w:pStyle w:val="48"/>
              <w:keepNext w:val="0"/>
              <w:keepLines w:val="0"/>
              <w:pageBreakBefore w:val="0"/>
              <w:widowControl w:val="0"/>
              <w:kinsoku/>
              <w:wordWrap w:val="0"/>
              <w:overflowPunct/>
              <w:topLinePunct w:val="0"/>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(实质性要求)</w:t>
            </w:r>
          </w:p>
        </w:tc>
        <w:tc>
          <w:tcPr>
            <w:tcW w:w="7244" w:type="dxa"/>
            <w:vAlign w:val="center"/>
          </w:tcPr>
          <w:p>
            <w:pPr>
              <w:pStyle w:val="45"/>
              <w:keepNext w:val="0"/>
              <w:keepLines w:val="0"/>
              <w:pageBreakBefore w:val="0"/>
              <w:widowControl w:val="0"/>
              <w:kinsoku/>
              <w:wordWrap w:val="0"/>
              <w:overflowPunct/>
              <w:topLinePunct w:val="0"/>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固定单价。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合同分包</w:t>
            </w:r>
            <w:r>
              <w:rPr>
                <w:rFonts w:hint="eastAsia" w:ascii="宋体" w:hAnsi="宋体" w:eastAsia="宋体" w:cs="宋体"/>
                <w:color w:val="auto"/>
                <w:sz w:val="21"/>
                <w:szCs w:val="21"/>
                <w:highlight w:val="none"/>
                <w:lang w:eastAsia="zh-CN"/>
              </w:rPr>
              <w:t>、转包</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(实质性要求)</w:t>
            </w:r>
          </w:p>
        </w:tc>
        <w:tc>
          <w:tcPr>
            <w:tcW w:w="7244" w:type="dxa"/>
            <w:vAlign w:val="center"/>
          </w:tcPr>
          <w:p>
            <w:pPr>
              <w:pStyle w:val="45"/>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本项目不允许供应商以合同分包形式进行投标。</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禁止</w:t>
            </w:r>
            <w:r>
              <w:rPr>
                <w:rFonts w:hint="eastAsia" w:ascii="宋体" w:hAnsi="宋体" w:eastAsia="宋体" w:cs="宋体"/>
                <w:color w:val="auto"/>
                <w:sz w:val="21"/>
                <w:szCs w:val="21"/>
                <w:highlight w:val="none"/>
              </w:rPr>
              <w:t>中标人将任何政府采购合同义务转包</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联合体投标</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投标有效期</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备选投标方案和</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报价</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履约验收</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详见第八章。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现场</w:t>
            </w:r>
            <w:r>
              <w:rPr>
                <w:rFonts w:hint="eastAsia" w:ascii="宋体" w:hAnsi="宋体" w:eastAsia="宋体" w:cs="宋体"/>
                <w:color w:val="auto"/>
                <w:sz w:val="21"/>
                <w:szCs w:val="21"/>
                <w:highlight w:val="none"/>
                <w:lang w:val="en-US" w:eastAsia="zh-CN"/>
              </w:rPr>
              <w:t>考察、标前</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答疑</w:t>
            </w:r>
            <w:r>
              <w:rPr>
                <w:rFonts w:hint="eastAsia" w:ascii="宋体" w:hAnsi="宋体" w:eastAsia="宋体" w:cs="宋体"/>
                <w:color w:val="auto"/>
                <w:sz w:val="21"/>
                <w:szCs w:val="21"/>
                <w:highlight w:val="none"/>
                <w:lang w:val="en-US" w:eastAsia="zh-CN"/>
              </w:rPr>
              <w:t>会</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采购人、采购代理机构可以视采购项目的具体情况，组织</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进行现场考察或</w:t>
            </w:r>
            <w:r>
              <w:rPr>
                <w:rFonts w:hint="eastAsia" w:ascii="宋体" w:hAnsi="宋体" w:eastAsia="宋体" w:cs="宋体"/>
                <w:color w:val="auto"/>
                <w:sz w:val="21"/>
                <w:szCs w:val="21"/>
                <w:highlight w:val="none"/>
                <w:lang w:eastAsia="zh-CN"/>
              </w:rPr>
              <w:t>开标</w:t>
            </w:r>
            <w:r>
              <w:rPr>
                <w:rFonts w:hint="eastAsia" w:ascii="宋体" w:hAnsi="宋体" w:eastAsia="宋体" w:cs="宋体"/>
                <w:color w:val="auto"/>
                <w:sz w:val="21"/>
                <w:szCs w:val="21"/>
                <w:highlight w:val="none"/>
              </w:rPr>
              <w:t>前答疑会，但不得单独或分别组织只有一个</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参加的现场考察和答疑会。若组织答疑会和现场考察以采购代理机构通知为准。</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考察现场所发生的一切费用由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自行</w:t>
            </w:r>
            <w:r>
              <w:rPr>
                <w:rFonts w:hint="eastAsia" w:ascii="宋体" w:hAnsi="宋体" w:eastAsia="宋体" w:cs="宋体"/>
                <w:color w:val="auto"/>
                <w:sz w:val="21"/>
                <w:szCs w:val="21"/>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投标保证金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低于成本价不正当竞争预防措施</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实质性要求</w:t>
            </w:r>
            <w:r>
              <w:rPr>
                <w:rFonts w:hint="eastAsia" w:ascii="宋体" w:hAnsi="宋体" w:eastAsia="宋体" w:cs="宋体"/>
                <w:color w:val="auto"/>
                <w:sz w:val="21"/>
                <w:szCs w:val="21"/>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小微企业、监狱企业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残疾人福利性单位等政府采购政策</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执行</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政府采购促进中小企业发展</w:t>
            </w:r>
            <w:r>
              <w:rPr>
                <w:rFonts w:hint="eastAsia" w:ascii="宋体" w:hAnsi="宋体" w:eastAsia="宋体" w:cs="宋体"/>
                <w:color w:val="auto"/>
                <w:sz w:val="21"/>
                <w:szCs w:val="21"/>
                <w:highlight w:val="none"/>
                <w:lang w:val="en-US" w:eastAsia="zh-CN"/>
              </w:rPr>
              <w:t>政策</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定义：</w:t>
            </w:r>
            <w:r>
              <w:rPr>
                <w:rFonts w:hint="eastAsia" w:ascii="宋体" w:hAnsi="宋体" w:eastAsia="宋体" w:cs="宋体"/>
                <w:color w:val="auto"/>
                <w:sz w:val="21"/>
                <w:szCs w:val="21"/>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适用情形：</w:t>
            </w:r>
            <w:r>
              <w:rPr>
                <w:rFonts w:hint="eastAsia" w:ascii="宋体" w:hAnsi="宋体" w:eastAsia="宋体" w:cs="宋体"/>
                <w:color w:val="auto"/>
                <w:sz w:val="21"/>
                <w:szCs w:val="21"/>
                <w:highlight w:val="none"/>
                <w:lang w:val="en-US" w:eastAsia="zh-CN"/>
              </w:rPr>
              <w:t>在服务采购项目中，服务由中小企业承接，即提供服务的人员为中小企业依照《中华人民共和国劳动合同法》订立劳动合同的从业人员。</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注：关于中小微型企业划分标准详见附件二。</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执行方式：</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根据关于印发《政府采购促进中小企业发展管理办法》的通知</w:t>
            </w:r>
            <w:r>
              <w:rPr>
                <w:rFonts w:hint="eastAsia" w:ascii="宋体" w:hAnsi="宋体" w:eastAsia="宋体" w:cs="宋体"/>
                <w:color w:val="auto"/>
                <w:sz w:val="21"/>
                <w:szCs w:val="21"/>
                <w:highlight w:val="none"/>
                <w:lang w:eastAsia="zh-CN"/>
              </w:rPr>
              <w:t>(财库〔2020〕46号)、四川省人民政府关于印发进一步规范政府采购监管和执行若干规定的通知</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川府发〔2018〕14号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的规定，对小型和微型企业的价格给予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%的价格扣除，用扣除后的价格参与评审</w:t>
            </w:r>
            <w:r>
              <w:rPr>
                <w:rFonts w:hint="eastAsia" w:ascii="宋体" w:hAnsi="宋体" w:eastAsia="宋体" w:cs="宋体"/>
                <w:color w:val="auto"/>
                <w:spacing w:val="-8"/>
                <w:sz w:val="21"/>
                <w:szCs w:val="21"/>
                <w:highlight w:val="none"/>
              </w:rPr>
              <w:t>。</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lang w:val="en-US" w:eastAsia="zh-CN"/>
              </w:rPr>
              <w:t>2</w:t>
            </w:r>
            <w:r>
              <w:rPr>
                <w:rFonts w:hint="eastAsia" w:ascii="宋体" w:hAnsi="宋体" w:eastAsia="宋体" w:cs="宋体"/>
                <w:color w:val="auto"/>
                <w:spacing w:val="-8"/>
                <w:sz w:val="21"/>
                <w:szCs w:val="21"/>
                <w:highlight w:val="none"/>
                <w:lang w:eastAsia="zh-CN"/>
              </w:rPr>
              <w:t>)中小企业参加政府采购活动，应当出具《中小企业声明函》(</w:t>
            </w:r>
            <w:r>
              <w:rPr>
                <w:rFonts w:hint="eastAsia" w:ascii="宋体" w:hAnsi="宋体" w:eastAsia="宋体" w:cs="宋体"/>
                <w:color w:val="auto"/>
                <w:spacing w:val="-8"/>
                <w:sz w:val="21"/>
                <w:szCs w:val="21"/>
                <w:highlight w:val="none"/>
                <w:lang w:val="en-US" w:eastAsia="zh-CN"/>
              </w:rPr>
              <w:t>格式详见招标文件</w:t>
            </w:r>
            <w:r>
              <w:rPr>
                <w:rFonts w:hint="eastAsia" w:ascii="宋体" w:hAnsi="宋体" w:eastAsia="宋体" w:cs="宋体"/>
                <w:color w:val="auto"/>
                <w:spacing w:val="-8"/>
                <w:sz w:val="21"/>
                <w:szCs w:val="21"/>
                <w:highlight w:val="none"/>
                <w:lang w:eastAsia="zh-CN"/>
              </w:rPr>
              <w:t>)，否则不得享受相关中小企业扶持政策</w:t>
            </w:r>
            <w:r>
              <w:rPr>
                <w:rFonts w:hint="eastAsia" w:ascii="宋体" w:hAnsi="宋体" w:eastAsia="宋体" w:cs="宋体"/>
                <w:color w:val="auto"/>
                <w:spacing w:val="-8"/>
                <w:sz w:val="21"/>
                <w:szCs w:val="21"/>
                <w:highlight w:val="none"/>
              </w:rPr>
              <w:t>。</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二、监狱企业价格扣除</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1.根据财政部司法部关于政府采购支持监狱企业发展有关问题的通知</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财库〔2014〕68号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的规定，在政府采购活动中，监狱企业视同小型、微型企业，享受预留份额、评审中价格扣除等政府采购促进中小企业发展的政府采购政策。</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2.本项目对监狱企业</w:t>
            </w:r>
            <w:r>
              <w:rPr>
                <w:rFonts w:hint="eastAsia" w:ascii="宋体" w:hAnsi="宋体" w:eastAsia="宋体" w:cs="宋体"/>
                <w:color w:val="auto"/>
                <w:sz w:val="21"/>
                <w:szCs w:val="21"/>
                <w:highlight w:val="none"/>
                <w:lang w:eastAsia="zh-CN"/>
              </w:rPr>
              <w:t>参与投标</w:t>
            </w:r>
            <w:r>
              <w:rPr>
                <w:rFonts w:hint="eastAsia" w:ascii="宋体" w:hAnsi="宋体" w:eastAsia="宋体" w:cs="宋体"/>
                <w:color w:val="auto"/>
                <w:sz w:val="21"/>
                <w:szCs w:val="21"/>
                <w:highlight w:val="none"/>
              </w:rPr>
              <w:t>的价格给予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%的扣除，用扣除后的价格参与评审。</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3.监狱企业参加政府采购活动时，应当提供由省级以上监狱管理局、戒毒管理局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含新疆生产建设兵团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出具的属于监狱企业的证明文件。</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监狱企业</w:t>
            </w:r>
            <w:r>
              <w:rPr>
                <w:rFonts w:hint="eastAsia" w:ascii="宋体" w:hAnsi="宋体" w:eastAsia="宋体" w:cs="宋体"/>
                <w:color w:val="auto"/>
                <w:sz w:val="21"/>
                <w:szCs w:val="21"/>
                <w:highlight w:val="none"/>
                <w:lang w:val="en-US" w:eastAsia="zh-CN"/>
              </w:rPr>
              <w:t>属于小型、微型企业的，不重复享受政策。</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三、残疾人福利性单位</w:t>
            </w:r>
            <w:r>
              <w:rPr>
                <w:rFonts w:hint="eastAsia" w:ascii="宋体" w:hAnsi="宋体" w:eastAsia="宋体" w:cs="宋体"/>
                <w:color w:val="auto"/>
                <w:sz w:val="21"/>
                <w:szCs w:val="21"/>
                <w:highlight w:val="none"/>
              </w:rPr>
              <w:t>价格扣除</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2.本项目对残疾人福利性单位参与投标的价格给予10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的扣除，用扣除后的价格参与评审。</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3.残疾人福利性单位参加政府采购活动时，应当提供本通知规定的《残疾人福利性单位声明函》。</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4.供应商提供的《残疾人福利性单位声明函》与事实不符的，依照《政府采购法》第七十七条第一款的规定追究法律责任。</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扶持少数民族地区</w:t>
            </w:r>
          </w:p>
        </w:tc>
        <w:tc>
          <w:tcPr>
            <w:tcW w:w="7244" w:type="dxa"/>
            <w:vAlign w:val="center"/>
          </w:tcPr>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投标人注册地在民族自治区、自治州、自治县(含享受少数民族待遇的区县)、民族乡的，在评审得分相同且投标报价相同的情况下将被优选推荐为中标候选人。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品牌或者供应商</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(如涉及)</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若采购文件涉及品牌或者供应商，其目的是为了准确清楚说明采购项目的技术标准和要求，其意思表示为“参照或相当于”</w:t>
            </w:r>
            <w:r>
              <w:rPr>
                <w:rFonts w:hint="eastAsia" w:cs="宋体"/>
                <w:color w:val="auto"/>
                <w:sz w:val="21"/>
                <w:szCs w:val="21"/>
                <w:highlight w:val="none"/>
                <w:lang w:val="en-US" w:eastAsia="zh-CN"/>
              </w:rPr>
              <w:t>该</w:t>
            </w:r>
            <w:r>
              <w:rPr>
                <w:rFonts w:hint="eastAsia" w:ascii="宋体" w:hAnsi="宋体" w:eastAsia="宋体" w:cs="宋体"/>
                <w:color w:val="auto"/>
                <w:sz w:val="21"/>
                <w:szCs w:val="21"/>
                <w:highlight w:val="none"/>
                <w:lang w:val="en-US" w:eastAsia="zh-CN"/>
              </w:rPr>
              <w:t>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节能产品、环境标志产品、无线局域网产品采购政策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本项目不涉及节能产品、环境标志产品、无线局域网产品，故不在招标文件中体现相关政策。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其他强制性规定</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(如涉及时作为实质性要求)</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保障供应商知情权及</w:t>
            </w: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rPr>
              <w:t>审</w:t>
            </w:r>
            <w:r>
              <w:rPr>
                <w:rFonts w:hint="eastAsia" w:ascii="宋体" w:hAnsi="宋体" w:eastAsia="宋体" w:cs="宋体"/>
                <w:color w:val="auto"/>
                <w:sz w:val="21"/>
                <w:szCs w:val="21"/>
                <w:highlight w:val="none"/>
                <w:lang w:val="zh-CN"/>
              </w:rPr>
              <w:t>情况的公告</w:t>
            </w:r>
          </w:p>
        </w:tc>
        <w:tc>
          <w:tcPr>
            <w:tcW w:w="7244" w:type="dxa"/>
            <w:vAlign w:val="center"/>
          </w:tcPr>
          <w:p>
            <w:pPr>
              <w:pStyle w:val="45"/>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保障供应商知情权</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在政府采购活动中，对于供应商未通过资格预审或者资格审查的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对供应商的投标文件按无效响应处理的，</w:t>
            </w:r>
            <w:r>
              <w:rPr>
                <w:rFonts w:hint="eastAsia" w:ascii="宋体" w:hAnsi="宋体" w:eastAsia="宋体" w:cs="宋体"/>
                <w:color w:val="auto"/>
                <w:sz w:val="21"/>
                <w:szCs w:val="21"/>
                <w:highlight w:val="none"/>
                <w:lang w:val="en-US" w:eastAsia="zh-CN"/>
              </w:rPr>
              <w:t>将在采购结果公告发布当日以</w:t>
            </w:r>
            <w:r>
              <w:rPr>
                <w:rFonts w:hint="eastAsia" w:ascii="宋体" w:hAnsi="宋体" w:eastAsia="宋体" w:cs="宋体"/>
                <w:color w:val="auto"/>
                <w:sz w:val="21"/>
                <w:szCs w:val="21"/>
                <w:highlight w:val="none"/>
              </w:rPr>
              <w:t>书面告知供应商原因。采用综合评分法评审的，还应当书面告知未中标、成交供应商的评审得分与排序。</w:t>
            </w:r>
            <w:r>
              <w:rPr>
                <w:rFonts w:hint="eastAsia" w:ascii="宋体" w:hAnsi="宋体" w:eastAsia="宋体" w:cs="宋体"/>
                <w:color w:val="auto"/>
                <w:sz w:val="21"/>
                <w:szCs w:val="21"/>
                <w:highlight w:val="none"/>
                <w:lang w:val="en-US" w:eastAsia="zh-CN"/>
              </w:rPr>
              <w:t>书面告知将通过邮件方式发送至各供应商的报名邮箱，请注意查收</w:t>
            </w:r>
            <w:r>
              <w:rPr>
                <w:rFonts w:hint="eastAsia" w:ascii="宋体" w:hAnsi="宋体" w:eastAsia="宋体" w:cs="宋体"/>
                <w:color w:val="auto"/>
                <w:sz w:val="21"/>
                <w:szCs w:val="21"/>
                <w:highlight w:val="none"/>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评</w:t>
            </w:r>
            <w:r>
              <w:rPr>
                <w:rFonts w:hint="eastAsia" w:ascii="宋体" w:hAnsi="宋体" w:eastAsia="宋体" w:cs="宋体"/>
                <w:color w:val="auto"/>
                <w:sz w:val="21"/>
                <w:szCs w:val="21"/>
                <w:highlight w:val="none"/>
              </w:rPr>
              <w:t>审</w:t>
            </w:r>
            <w:r>
              <w:rPr>
                <w:rFonts w:hint="eastAsia" w:ascii="宋体" w:hAnsi="宋体" w:eastAsia="宋体" w:cs="宋体"/>
                <w:color w:val="auto"/>
                <w:sz w:val="21"/>
                <w:szCs w:val="21"/>
                <w:highlight w:val="none"/>
                <w:lang w:val="zh-CN"/>
              </w:rPr>
              <w:t>情况的公告</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所有供应商投标文件资格性、符合性审查情况、采用综合评分法时的总得分和分项汇总得分情况、</w:t>
            </w:r>
            <w:r>
              <w:rPr>
                <w:rFonts w:hint="eastAsia" w:ascii="宋体" w:hAnsi="宋体" w:eastAsia="宋体" w:cs="宋体"/>
                <w:color w:val="auto"/>
                <w:sz w:val="21"/>
                <w:szCs w:val="21"/>
                <w:highlight w:val="none"/>
                <w:lang w:val="en-US" w:eastAsia="zh-CN"/>
              </w:rPr>
              <w:t>《中小企业声明函》(如涉及)、</w:t>
            </w:r>
            <w:r>
              <w:rPr>
                <w:rFonts w:hint="eastAsia" w:ascii="宋体" w:hAnsi="宋体" w:eastAsia="宋体" w:cs="宋体"/>
                <w:color w:val="auto"/>
                <w:sz w:val="21"/>
                <w:szCs w:val="21"/>
                <w:highlight w:val="none"/>
              </w:rPr>
              <w:t>评审结果等将在</w:t>
            </w:r>
            <w:r>
              <w:rPr>
                <w:rFonts w:hint="eastAsia" w:ascii="宋体" w:hAnsi="宋体" w:eastAsia="宋体" w:cs="宋体"/>
                <w:color w:val="auto"/>
                <w:sz w:val="21"/>
                <w:szCs w:val="21"/>
                <w:highlight w:val="none"/>
                <w:lang w:eastAsia="zh-CN"/>
              </w:rPr>
              <w:t>“四川政府采购网”</w:t>
            </w:r>
            <w:r>
              <w:rPr>
                <w:rFonts w:hint="eastAsia" w:ascii="宋体" w:hAnsi="宋体" w:eastAsia="宋体" w:cs="宋体"/>
                <w:color w:val="auto"/>
                <w:sz w:val="21"/>
                <w:szCs w:val="21"/>
                <w:highlight w:val="none"/>
              </w:rPr>
              <w:t>采购结果公告附件中予以公告。</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中标通知书领取</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采购代理机构在中标人确定后2个工作日内，在“四川政府采购网”发布中标公告，同时采购代理机构将中标通知书快递至中标人。</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联系人：</w:t>
            </w:r>
            <w:r>
              <w:rPr>
                <w:rFonts w:hint="eastAsia" w:ascii="宋体" w:hAnsi="宋体" w:eastAsia="宋体" w:cs="宋体"/>
                <w:color w:val="auto"/>
                <w:sz w:val="21"/>
                <w:szCs w:val="21"/>
                <w:highlight w:val="none"/>
                <w:lang w:val="en-US" w:eastAsia="zh-CN"/>
              </w:rPr>
              <w:t>张婵嫒</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联系电话：028-61375575、62600820、62630990转601或602</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地址：</w:t>
            </w:r>
            <w:r>
              <w:rPr>
                <w:rFonts w:hint="eastAsia" w:ascii="宋体" w:hAnsi="宋体" w:eastAsia="宋体" w:cs="宋体"/>
                <w:color w:val="auto"/>
                <w:sz w:val="21"/>
                <w:szCs w:val="21"/>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5"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rPr>
              <w:t>代理</w:t>
            </w:r>
          </w:p>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服务费</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1.招标代理服务费以成本加合理利润为原则，</w:t>
            </w:r>
            <w:r>
              <w:rPr>
                <w:rFonts w:hint="eastAsia" w:ascii="宋体" w:hAnsi="宋体" w:eastAsia="宋体" w:cs="宋体"/>
                <w:color w:val="auto"/>
                <w:sz w:val="21"/>
                <w:szCs w:val="21"/>
                <w:highlight w:val="none"/>
                <w:lang w:val="en-US" w:eastAsia="zh-CN"/>
              </w:rPr>
              <w:t>以采购预算为计费基数</w:t>
            </w:r>
            <w:r>
              <w:rPr>
                <w:rFonts w:hint="eastAsia" w:ascii="宋体" w:hAnsi="宋体" w:eastAsia="宋体" w:cs="宋体"/>
                <w:color w:val="auto"/>
                <w:sz w:val="21"/>
                <w:szCs w:val="21"/>
                <w:highlight w:val="none"/>
              </w:rPr>
              <w:t>，按照下列收费标准计算出收费基准价格后下浮20%收取。</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.代理服务费率标准和代理服务费计算方法</w:t>
            </w:r>
          </w:p>
          <w:tbl>
            <w:tblPr>
              <w:tblStyle w:val="19"/>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金额(万元)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类型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货物类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服务类</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100以下</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100－500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0.45%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10000－100000</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1000000以上</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r>
          </w:tbl>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(1)按本表费率计算的收费为代理服务全过程的收费基准价格。</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(2)采购代理机构下浮比例为20%。</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(3)代理服务收费按差额定率累进法计算。</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例如：某工程代理业务中标金额为6000万元，计算代理服务收费额如下：</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100万元×1.00%=1万元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(500－100)万元×0.70%=2.8万元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(1000－500)万元×0.55%=2.75万元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(5000－1000)万元×0.35%=14万元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(6000－5000)万元×0.20%=2万元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最终代理服务=(1+2.8+2.75+14+2)*(1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20%)=18.04(万元)</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收取方式：中标</w:t>
            </w:r>
            <w:r>
              <w:rPr>
                <w:rFonts w:hint="eastAsia" w:ascii="宋体" w:hAnsi="宋体" w:eastAsia="宋体" w:cs="宋体"/>
                <w:color w:val="auto"/>
                <w:sz w:val="21"/>
                <w:szCs w:val="21"/>
                <w:highlight w:val="none"/>
                <w:lang w:val="zh-CN"/>
              </w:rPr>
              <w:t>通知发出后二个工作日内由</w:t>
            </w:r>
            <w:r>
              <w:rPr>
                <w:rFonts w:hint="eastAsia" w:ascii="宋体" w:hAnsi="宋体" w:eastAsia="宋体" w:cs="宋体"/>
                <w:color w:val="auto"/>
                <w:sz w:val="21"/>
                <w:szCs w:val="21"/>
                <w:highlight w:val="none"/>
              </w:rPr>
              <w:t>中标供应商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rPr>
              <w:t>至采购代理机构。</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4.账号信息</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收款单位：四川乾新招投标代理有限公司</w:t>
            </w:r>
          </w:p>
          <w:p>
            <w:pPr>
              <w:pStyle w:val="45"/>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开 户 行：招商银行成都分行天府大道支行</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left"/>
              <w:textAlignment w:val="auto"/>
              <w:rPr>
                <w:rFonts w:hint="eastAsia" w:ascii="宋体" w:hAnsi="宋体" w:eastAsia="宋体" w:cs="宋体"/>
                <w:b w:val="0"/>
                <w:i w:val="0"/>
                <w:caps w:val="0"/>
                <w:color w:val="auto"/>
                <w:spacing w:val="0"/>
                <w:sz w:val="21"/>
                <w:szCs w:val="21"/>
                <w:highlight w:val="none"/>
                <w:lang w:val="en-US" w:eastAsia="zh-CN"/>
              </w:rPr>
            </w:pPr>
            <w:r>
              <w:rPr>
                <w:rFonts w:hint="eastAsia" w:ascii="宋体" w:hAnsi="宋体" w:eastAsia="宋体" w:cs="宋体"/>
                <w:b w:val="0"/>
                <w:i w:val="0"/>
                <w:caps w:val="0"/>
                <w:color w:val="auto"/>
                <w:spacing w:val="0"/>
                <w:sz w:val="21"/>
                <w:szCs w:val="21"/>
                <w:highlight w:val="none"/>
                <w:lang w:val="en-US" w:eastAsia="zh-CN"/>
              </w:rPr>
              <w:t>银行账号：1289 0768 1810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履约保证金</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实质性要求</w:t>
            </w:r>
            <w:r>
              <w:rPr>
                <w:rFonts w:hint="eastAsia" w:ascii="宋体" w:hAnsi="宋体" w:eastAsia="宋体" w:cs="宋体"/>
                <w:color w:val="auto"/>
                <w:sz w:val="21"/>
                <w:szCs w:val="21"/>
                <w:highlight w:val="none"/>
                <w:lang w:eastAsia="zh-CN"/>
              </w:rPr>
              <w:t>)</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政府采购供应商信用融资</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根据《四川省财政厅关于推进四川省政府采购供应商信用融资工作的通知》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川财采</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2018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123号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《成都市中小企业政府采购信用融资暂行办法及其实施方案》(成财采〔2019〕17号)、《成都市财政局关于优化政府采购领域营商环境的通知》</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成财采发〔2019〕19号</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、《成都市财政局 中国人民银行成都分行营业管理部关于印发成都市政府采购应对新冠肺炎疫情促进中小企业发展实施细则的通知》</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成财制〔2020〕2号)等</w:t>
            </w:r>
            <w:r>
              <w:rPr>
                <w:rFonts w:hint="eastAsia" w:ascii="宋体" w:hAnsi="宋体" w:eastAsia="宋体" w:cs="宋体"/>
                <w:color w:val="auto"/>
                <w:sz w:val="21"/>
                <w:szCs w:val="21"/>
                <w:highlight w:val="none"/>
              </w:rPr>
              <w:t>文件要求，为助力解决政府采购中标、成交供应商资金不足、融资难、融资贵的困难，促进供应商依法诚信参加政府采购活动，有融资需求的供应商可根据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四川政府采购网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公示的银行及其“政采贷”产品，自行选择符合自身情况的“政采贷”银行及其产品，凭</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通知书向银行提出贷款意向申请，并按照相关规定要求和贷款流程申请信用融资贷款</w:t>
            </w:r>
            <w:r>
              <w:rPr>
                <w:rFonts w:hint="eastAsia" w:ascii="宋体" w:hAnsi="宋体" w:eastAsia="宋体" w:cs="宋体"/>
                <w:color w:val="auto"/>
                <w:sz w:val="21"/>
                <w:szCs w:val="21"/>
                <w:highlight w:val="none"/>
                <w:lang w:val="en-US" w:eastAsia="zh-CN"/>
              </w:rPr>
              <w:t>及执行相关采购政策。</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3.“政采贷”政策咨询电话：</w:t>
            </w:r>
            <w:r>
              <w:rPr>
                <w:rFonts w:hint="eastAsia" w:ascii="宋体" w:hAnsi="宋体" w:eastAsia="宋体" w:cs="宋体"/>
                <w:color w:val="auto"/>
                <w:sz w:val="21"/>
                <w:szCs w:val="21"/>
                <w:highlight w:val="none"/>
              </w:rPr>
              <w:t>028-</w:t>
            </w:r>
            <w:r>
              <w:rPr>
                <w:rFonts w:hint="eastAsia" w:ascii="宋体" w:hAnsi="宋体" w:eastAsia="宋体" w:cs="宋体"/>
                <w:color w:val="auto"/>
                <w:sz w:val="21"/>
                <w:szCs w:val="21"/>
                <w:highlight w:val="none"/>
                <w:lang w:val="zh-CN"/>
              </w:rPr>
              <w:t>84638556、84882960转6</w:t>
            </w:r>
            <w:r>
              <w:rPr>
                <w:rFonts w:hint="eastAsia" w:ascii="宋体" w:hAnsi="宋体" w:eastAsia="宋体" w:cs="宋体"/>
                <w:color w:val="auto"/>
                <w:sz w:val="21"/>
                <w:szCs w:val="21"/>
                <w:highlight w:val="none"/>
              </w:rPr>
              <w:t>08或609</w:t>
            </w:r>
            <w:r>
              <w:rPr>
                <w:rFonts w:hint="eastAsia" w:ascii="宋体" w:hAnsi="宋体" w:eastAsia="宋体" w:cs="宋体"/>
                <w:color w:val="auto"/>
                <w:sz w:val="21"/>
                <w:szCs w:val="21"/>
                <w:highlight w:val="none"/>
                <w:lang w:val="en-US" w:eastAsia="zh-CN"/>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政府采购合同公告</w:t>
            </w:r>
          </w:p>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备案</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政府采购合同签订之日起2个工作日内，政府采购合同将在</w:t>
            </w:r>
            <w:r>
              <w:rPr>
                <w:rFonts w:hint="eastAsia" w:ascii="宋体" w:hAnsi="宋体" w:eastAsia="宋体" w:cs="宋体"/>
                <w:color w:val="auto"/>
                <w:sz w:val="21"/>
                <w:szCs w:val="21"/>
                <w:highlight w:val="none"/>
                <w:lang w:eastAsia="zh-CN"/>
              </w:rPr>
              <w:t>“四川政府采购网”</w:t>
            </w:r>
            <w:r>
              <w:rPr>
                <w:rFonts w:hint="eastAsia" w:ascii="宋体" w:hAnsi="宋体" w:eastAsia="宋体" w:cs="宋体"/>
                <w:color w:val="auto"/>
                <w:sz w:val="21"/>
                <w:szCs w:val="21"/>
                <w:highlight w:val="none"/>
              </w:rPr>
              <w:t>公告；政府采购合同签订之日起七个工作日内，政府采购合同将向本采购项目同级财政部门</w:t>
            </w:r>
            <w:r>
              <w:rPr>
                <w:rFonts w:hint="eastAsia" w:ascii="宋体" w:hAnsi="宋体" w:eastAsia="宋体" w:cs="宋体"/>
                <w:color w:val="auto"/>
                <w:sz w:val="21"/>
                <w:szCs w:val="21"/>
                <w:highlight w:val="none"/>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供应商询问</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根据委托代理协议约定，</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负责对采购文件技术参数部分的询问答复，</w:t>
            </w:r>
            <w:r>
              <w:rPr>
                <w:rFonts w:hint="eastAsia" w:ascii="宋体" w:hAnsi="宋体" w:eastAsia="宋体" w:cs="宋体"/>
                <w:color w:val="auto"/>
                <w:sz w:val="21"/>
                <w:szCs w:val="21"/>
                <w:highlight w:val="none"/>
                <w:lang w:val="en-US" w:eastAsia="zh-CN"/>
              </w:rPr>
              <w:t>四川乾新招投标代理有限公司</w:t>
            </w:r>
            <w:r>
              <w:rPr>
                <w:rFonts w:hint="eastAsia" w:ascii="宋体" w:hAnsi="宋体" w:eastAsia="宋体" w:cs="宋体"/>
                <w:color w:val="auto"/>
                <w:sz w:val="21"/>
                <w:szCs w:val="21"/>
                <w:highlight w:val="none"/>
              </w:rPr>
              <w:t>负责采购文件技术参数部分以外的询问答复</w:t>
            </w:r>
            <w:r>
              <w:rPr>
                <w:rFonts w:hint="eastAsia" w:ascii="宋体" w:hAnsi="宋体" w:eastAsia="宋体" w:cs="宋体"/>
                <w:color w:val="auto"/>
                <w:sz w:val="21"/>
                <w:szCs w:val="21"/>
                <w:highlight w:val="none"/>
                <w:lang w:eastAsia="zh-CN"/>
              </w:rPr>
              <w:t>。</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2.询问内容不得涉及评审秘密、国家机密和商业秘密等保密内容。</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3.询问方式：询问可以采用邮寄、在线、现场书面或电子邮件等方式向四川乾新招投标代理有限公司提出；询问必须提供询问人基本信息(包含具体询问内容、询问人名称或姓名、联系人及联系电话、电子邮件)。</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联系人：</w:t>
            </w:r>
            <w:r>
              <w:rPr>
                <w:rFonts w:hint="eastAsia" w:ascii="宋体" w:hAnsi="宋体" w:eastAsia="宋体" w:cs="宋体"/>
                <w:color w:val="auto"/>
                <w:sz w:val="21"/>
                <w:szCs w:val="21"/>
                <w:highlight w:val="none"/>
                <w:lang w:val="en-US" w:eastAsia="zh-CN"/>
              </w:rPr>
              <w:t>王朝钢</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联系电话：</w:t>
            </w:r>
            <w:r>
              <w:rPr>
                <w:rFonts w:hint="eastAsia" w:ascii="宋体" w:hAnsi="宋体" w:eastAsia="宋体" w:cs="宋体"/>
                <w:color w:val="auto"/>
                <w:sz w:val="21"/>
                <w:szCs w:val="21"/>
                <w:highlight w:val="none"/>
                <w:lang w:eastAsia="zh-CN"/>
              </w:rPr>
              <w:t>028-</w:t>
            </w:r>
            <w:r>
              <w:rPr>
                <w:rFonts w:hint="eastAsia" w:ascii="宋体" w:hAnsi="宋体" w:eastAsia="宋体" w:cs="宋体"/>
                <w:color w:val="auto"/>
                <w:sz w:val="21"/>
                <w:szCs w:val="21"/>
                <w:highlight w:val="none"/>
                <w:lang w:val="zh-CN"/>
              </w:rPr>
              <w:t>84638556、84882960</w:t>
            </w:r>
            <w:r>
              <w:rPr>
                <w:rFonts w:hint="eastAsia" w:ascii="宋体" w:hAnsi="宋体" w:eastAsia="宋体" w:cs="宋体"/>
                <w:color w:val="auto"/>
                <w:sz w:val="21"/>
                <w:szCs w:val="21"/>
                <w:highlight w:val="none"/>
                <w:lang w:eastAsia="zh-CN"/>
              </w:rPr>
              <w:t>转</w:t>
            </w:r>
            <w:r>
              <w:rPr>
                <w:rFonts w:hint="eastAsia" w:ascii="宋体" w:hAnsi="宋体" w:eastAsia="宋体" w:cs="宋体"/>
                <w:color w:val="auto"/>
                <w:sz w:val="21"/>
                <w:szCs w:val="21"/>
                <w:highlight w:val="none"/>
                <w:lang w:val="en-US" w:eastAsia="zh-CN"/>
              </w:rPr>
              <w:t>663</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地址：成都市高新区吉庆三路333号蜀都中心二期一号楼一单元401号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4.询问提出的范围及主体：</w:t>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供应商质疑</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2.供应商提出质疑应当坚持依法依规、诚实信用原则；不得超出采购文件、采购过程、采购结果的范围，不得进行虚假、恶意质疑，不得以质疑为手段获取不当得利、实现非法目的。</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3.提出质疑函的时限要求：供应商认为采购文件、采购过程、中标</w:t>
            </w:r>
            <w:r>
              <w:rPr>
                <w:rFonts w:hint="eastAsia" w:cs="宋体"/>
                <w:color w:val="auto"/>
                <w:sz w:val="21"/>
                <w:szCs w:val="21"/>
                <w:highlight w:val="none"/>
                <w:lang w:val="en-US" w:eastAsia="zh-CN"/>
              </w:rPr>
              <w:t>结果</w:t>
            </w:r>
            <w:r>
              <w:rPr>
                <w:rFonts w:hint="eastAsia" w:ascii="宋体" w:hAnsi="宋体" w:eastAsia="宋体" w:cs="宋体"/>
                <w:color w:val="auto"/>
                <w:sz w:val="21"/>
                <w:szCs w:val="21"/>
                <w:highlight w:val="none"/>
                <w:lang w:val="en-US" w:eastAsia="zh-CN"/>
              </w:rPr>
              <w:t>使其权益受到损害的，可以在知道或者应知其权益受到损害之日起7个工作日内，以书面形式向采购人、采购代理机构提出质疑。</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接收质疑函的方式：供应商在法定时间内以书面形式现场、在线、电子邮件、邮寄或快递提交质疑函(①采用邮寄和快递形式提交的质疑函以采购代理机构或采购人亲自书面签收的为准，采用在线、电子邮件以收件日期为准；②收到质疑函后，进行质疑处理时：书面形式现场提交的以书面签收的日期为准，邮寄以寄出的邮戳日期为准，快递以受送达人在签收单上签收之日为准，在线、电子邮件以收件日期为准；③温馨提示：供应商提交质疑选择邮寄或快递、在线、电子邮件形式时，请先联系采购人或采购代理机构，选择高效及时的方式。质疑供应商在质疑函签收后5个工作日内未收到质疑答复的，可主动电话询问我公司相关事宜)。 </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谢旭</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val="zh-CN"/>
              </w:rPr>
              <w:t>028-84638556、84882960</w:t>
            </w:r>
            <w:r>
              <w:rPr>
                <w:rFonts w:hint="eastAsia" w:ascii="宋体" w:hAnsi="宋体" w:eastAsia="宋体" w:cs="宋体"/>
                <w:color w:val="auto"/>
                <w:sz w:val="21"/>
                <w:szCs w:val="21"/>
                <w:highlight w:val="none"/>
                <w:lang w:eastAsia="zh-CN"/>
              </w:rPr>
              <w:t>转6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6</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r>
              <w:rPr>
                <w:rFonts w:hint="eastAsia" w:ascii="宋体" w:hAnsi="宋体" w:eastAsia="宋体" w:cs="宋体"/>
                <w:color w:val="auto"/>
                <w:sz w:val="21"/>
                <w:szCs w:val="21"/>
                <w:highlight w:val="none"/>
                <w:lang w:val="zh-CN" w:eastAsia="zh-CN"/>
              </w:rPr>
              <w:t>成都市高新区吉庆三路333号蜀都中心二期一号楼一单元401号</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lang w:val="en-US" w:eastAsia="zh-CN"/>
              </w:rPr>
              <w:t>610041</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注：①根据《中华人民共和国政府采购法》等法律法规规定，供应商质疑应当有明确的请求和必要的证明材料，须符合《政府采购质疑和投诉办法》(财政部令第94号)规定，并使用财政部下发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质疑函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范本。</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明确的请求是指：供应商对采购文件还是对采购过程还是对中标结果提出质疑；想要达到的结果，如中标无效、废标、重新组织采购、赔偿、追究法律责任等；</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p>
        </w:tc>
        <w:tc>
          <w:tcPr>
            <w:tcW w:w="193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供应商投诉</w:t>
            </w:r>
          </w:p>
        </w:tc>
        <w:tc>
          <w:tcPr>
            <w:tcW w:w="7244" w:type="dxa"/>
            <w:vAlign w:val="top"/>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投诉受理单位：成都市财政局</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联系电话：028-61882648</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地址：四川省成都市锦城大道366号</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邮编：610041</w:t>
            </w:r>
            <w:r>
              <w:rPr>
                <w:rFonts w:hint="eastAsia" w:ascii="宋体" w:hAnsi="宋体" w:eastAsia="宋体" w:cs="宋体"/>
                <w:color w:val="auto"/>
                <w:sz w:val="21"/>
                <w:szCs w:val="21"/>
                <w:highlight w:val="none"/>
                <w:lang w:val="en-US" w:eastAsia="zh-CN"/>
              </w:rPr>
              <w:t xml:space="preserve"> </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①</w:t>
            </w:r>
            <w:r>
              <w:rPr>
                <w:rFonts w:hint="eastAsia" w:ascii="宋体" w:hAnsi="宋体" w:eastAsia="宋体" w:cs="宋体"/>
                <w:color w:val="auto"/>
                <w:sz w:val="21"/>
                <w:szCs w:val="21"/>
                <w:highlight w:val="none"/>
              </w:rPr>
              <w:t>供应商投诉应当有明确的请求和必要的证明材料。供应商投诉的事项不得超出已质疑事项的范围，须符合《政府采购质疑和投诉办法》(财政部令第94号)规定，并使用财政部下发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格式详见第九章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通过在线、现场、邮寄、邮箱等多种方式提起投诉</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服务质量投诉电话</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联系人：万方仪</w:t>
            </w:r>
          </w:p>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w:t>
            </w:r>
            <w:r>
              <w:rPr>
                <w:rFonts w:hint="eastAsia" w:ascii="宋体" w:hAnsi="宋体" w:eastAsia="宋体" w:cs="宋体"/>
                <w:color w:val="auto"/>
                <w:sz w:val="21"/>
                <w:szCs w:val="21"/>
                <w:highlight w:val="none"/>
                <w:lang w:eastAsia="zh-CN"/>
              </w:rPr>
              <w:t>028-61375575、62600820、62630990转6</w:t>
            </w:r>
            <w:r>
              <w:rPr>
                <w:rFonts w:hint="eastAsia" w:ascii="宋体" w:hAnsi="宋体" w:eastAsia="宋体" w:cs="宋体"/>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声明承诺提醒</w:t>
            </w:r>
          </w:p>
        </w:tc>
        <w:tc>
          <w:tcPr>
            <w:tcW w:w="7244"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投标人的投标</w:t>
            </w:r>
            <w:r>
              <w:rPr>
                <w:rFonts w:hint="eastAsia" w:ascii="宋体" w:hAnsi="宋体" w:eastAsia="宋体" w:cs="宋体"/>
                <w:color w:val="auto"/>
                <w:sz w:val="21"/>
                <w:szCs w:val="21"/>
                <w:highlight w:val="none"/>
                <w:lang w:val="zh-CN"/>
              </w:rPr>
              <w:t>文件中提供的各种声明和承诺应当真实有效，无效声明和承诺、虚假声明和承诺将由</w:t>
            </w:r>
            <w:r>
              <w:rPr>
                <w:rFonts w:hint="eastAsia" w:ascii="宋体" w:hAnsi="宋体" w:eastAsia="宋体" w:cs="宋体"/>
                <w:color w:val="auto"/>
                <w:sz w:val="21"/>
                <w:szCs w:val="21"/>
                <w:highlight w:val="none"/>
                <w:lang w:val="en-US" w:eastAsia="zh-CN"/>
              </w:rPr>
              <w:t>投标人自行</w:t>
            </w:r>
            <w:r>
              <w:rPr>
                <w:rFonts w:hint="eastAsia" w:ascii="宋体" w:hAnsi="宋体" w:eastAsia="宋体" w:cs="宋体"/>
                <w:color w:val="auto"/>
                <w:sz w:val="21"/>
                <w:szCs w:val="21"/>
                <w:highlight w:val="none"/>
                <w:lang w:val="zh-CN"/>
              </w:rPr>
              <w:t>承担由此带来的</w:t>
            </w:r>
            <w:r>
              <w:rPr>
                <w:rFonts w:hint="eastAsia" w:ascii="宋体" w:hAnsi="宋体" w:eastAsia="宋体" w:cs="宋体"/>
                <w:color w:val="auto"/>
                <w:sz w:val="21"/>
                <w:szCs w:val="21"/>
                <w:highlight w:val="none"/>
                <w:lang w:val="en-US" w:eastAsia="zh-CN"/>
              </w:rPr>
              <w:t>一切</w:t>
            </w:r>
            <w:r>
              <w:rPr>
                <w:rFonts w:hint="eastAsia" w:ascii="宋体" w:hAnsi="宋体" w:eastAsia="宋体" w:cs="宋体"/>
                <w:color w:val="auto"/>
                <w:sz w:val="21"/>
                <w:szCs w:val="21"/>
                <w:highlight w:val="none"/>
                <w:lang w:val="zh-CN"/>
              </w:rPr>
              <w:t>不利后果，</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lang w:val="zh-CN"/>
              </w:rPr>
              <w:t>还将报告监管部门追究</w:t>
            </w:r>
            <w:r>
              <w:rPr>
                <w:rFonts w:hint="eastAsia" w:ascii="宋体" w:hAnsi="宋体" w:eastAsia="宋体" w:cs="宋体"/>
                <w:color w:val="auto"/>
                <w:sz w:val="21"/>
                <w:szCs w:val="21"/>
                <w:highlight w:val="none"/>
                <w:lang w:val="en-US" w:eastAsia="zh-CN"/>
              </w:rPr>
              <w:t>其</w:t>
            </w:r>
            <w:r>
              <w:rPr>
                <w:rFonts w:hint="eastAsia" w:ascii="宋体" w:hAnsi="宋体" w:eastAsia="宋体" w:cs="宋体"/>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keepNext w:val="0"/>
              <w:keepLines w:val="0"/>
              <w:pageBreakBefore w:val="0"/>
              <w:widowControl w:val="0"/>
              <w:numPr>
                <w:ilvl w:val="0"/>
                <w:numId w:val="9"/>
              </w:numPr>
              <w:kinsoku/>
              <w:wordWrap w:val="0"/>
              <w:overflowPunct/>
              <w:autoSpaceDE/>
              <w:autoSpaceDN/>
              <w:bidi w:val="0"/>
              <w:adjustRightInd w:val="0"/>
              <w:snapToGrid w:val="0"/>
              <w:spacing w:line="360" w:lineRule="exact"/>
              <w:ind w:left="28" w:leftChars="0" w:right="12" w:rightChars="5" w:firstLine="0" w:firstLineChars="0"/>
              <w:textAlignment w:val="auto"/>
              <w:rPr>
                <w:rFonts w:hint="eastAsia" w:ascii="宋体" w:hAnsi="宋体" w:eastAsia="宋体" w:cs="宋体"/>
                <w:color w:val="auto"/>
                <w:sz w:val="21"/>
                <w:szCs w:val="21"/>
                <w:highlight w:val="none"/>
                <w:lang w:eastAsia="zh-CN"/>
              </w:rPr>
            </w:pPr>
          </w:p>
        </w:tc>
        <w:tc>
          <w:tcPr>
            <w:tcW w:w="1936" w:type="dxa"/>
            <w:vAlign w:val="center"/>
          </w:tcPr>
          <w:p>
            <w:pPr>
              <w:pStyle w:val="48"/>
              <w:keepNext w:val="0"/>
              <w:keepLines w:val="0"/>
              <w:pageBreakBefore w:val="0"/>
              <w:widowControl w:val="0"/>
              <w:kinsoku/>
              <w:wordWrap w:val="0"/>
              <w:overflow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244"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60" w:lineRule="exact"/>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若招标文件中其他内容与投标人须知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rPr>
              <w:t>附表内容不一致的，以投标人须知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rPr>
              <w:t>附表为准。</w:t>
            </w:r>
          </w:p>
        </w:tc>
      </w:tr>
    </w:tbl>
    <w:p>
      <w:pPr>
        <w:pStyle w:val="46"/>
        <w:bidi w:val="0"/>
        <w:rPr>
          <w:rFonts w:hint="eastAsia"/>
          <w:color w:val="auto"/>
          <w:highlight w:val="none"/>
        </w:rPr>
      </w:pPr>
      <w:r>
        <w:rPr>
          <w:rFonts w:hint="eastAsia"/>
          <w:color w:val="auto"/>
          <w:highlight w:val="none"/>
        </w:rPr>
        <w:br w:type="page"/>
      </w:r>
      <w:bookmarkStart w:id="38" w:name="_Toc26593"/>
      <w:bookmarkStart w:id="39" w:name="_Toc23295"/>
      <w:bookmarkStart w:id="40" w:name="_Toc2042"/>
      <w:bookmarkStart w:id="41" w:name="_Toc5586"/>
      <w:bookmarkStart w:id="42" w:name="_Toc4011"/>
      <w:r>
        <w:rPr>
          <w:rFonts w:hint="eastAsia"/>
          <w:color w:val="auto"/>
          <w:highlight w:val="none"/>
        </w:rPr>
        <w:t>总 则</w:t>
      </w:r>
      <w:bookmarkEnd w:id="37"/>
      <w:bookmarkEnd w:id="38"/>
      <w:bookmarkEnd w:id="39"/>
      <w:bookmarkEnd w:id="40"/>
      <w:bookmarkEnd w:id="41"/>
      <w:bookmarkEnd w:id="42"/>
    </w:p>
    <w:p>
      <w:pPr>
        <w:pStyle w:val="27"/>
        <w:bidi w:val="0"/>
        <w:rPr>
          <w:rFonts w:hint="eastAsia"/>
          <w:color w:val="auto"/>
          <w:highlight w:val="none"/>
        </w:rPr>
      </w:pPr>
      <w:bookmarkStart w:id="43" w:name="_Toc31870"/>
      <w:bookmarkStart w:id="44" w:name="_Toc308084574"/>
      <w:bookmarkStart w:id="45" w:name="_Toc5790"/>
      <w:bookmarkStart w:id="46" w:name="_Toc32648"/>
      <w:bookmarkStart w:id="47" w:name="_Toc29532"/>
      <w:bookmarkStart w:id="48" w:name="_Toc308188129"/>
      <w:bookmarkStart w:id="49" w:name="_Toc10311"/>
      <w:bookmarkStart w:id="50" w:name="_Toc319440119"/>
      <w:bookmarkStart w:id="51" w:name="_Toc309897492"/>
      <w:bookmarkStart w:id="52" w:name="_Toc20769"/>
      <w:bookmarkStart w:id="53" w:name="_Toc12046"/>
      <w:bookmarkStart w:id="54" w:name="_Toc307501086"/>
      <w:bookmarkStart w:id="55" w:name="_Toc3601"/>
      <w:bookmarkStart w:id="56" w:name="_Toc217446034"/>
      <w:bookmarkStart w:id="57" w:name="_Toc307564829"/>
      <w:bookmarkStart w:id="58" w:name="_Toc23796"/>
      <w:bookmarkStart w:id="59" w:name="_Toc32483"/>
      <w:bookmarkStart w:id="60" w:name="_Toc28450"/>
      <w:bookmarkStart w:id="61" w:name="_Toc319439877"/>
      <w:bookmarkStart w:id="62" w:name="_Toc327196263"/>
      <w:bookmarkStart w:id="63" w:name="_Toc13887"/>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9"/>
        <w:numPr>
          <w:ilvl w:val="2"/>
          <w:numId w:val="0"/>
        </w:numPr>
        <w:bidi w:val="0"/>
        <w:ind w:leftChars="200"/>
        <w:rPr>
          <w:rFonts w:hint="eastAsia"/>
          <w:color w:val="auto"/>
          <w:highlight w:val="none"/>
        </w:rPr>
      </w:pPr>
      <w:r>
        <w:rPr>
          <w:rFonts w:hint="eastAsia"/>
          <w:color w:val="auto"/>
          <w:highlight w:val="none"/>
        </w:rPr>
        <w:t>本招标文件仅适用于本次公开招标采购项目。</w:t>
      </w:r>
    </w:p>
    <w:p>
      <w:pPr>
        <w:pStyle w:val="27"/>
        <w:bidi w:val="0"/>
        <w:rPr>
          <w:rFonts w:hint="eastAsia"/>
          <w:color w:val="auto"/>
          <w:highlight w:val="none"/>
        </w:rPr>
      </w:pPr>
      <w:bookmarkStart w:id="64" w:name="_Toc24751"/>
      <w:bookmarkStart w:id="65" w:name="_Toc308188130"/>
      <w:bookmarkStart w:id="66" w:name="_Toc319440120"/>
      <w:bookmarkStart w:id="67" w:name="_Toc319439878"/>
      <w:bookmarkStart w:id="68" w:name="_Toc19069"/>
      <w:bookmarkStart w:id="69" w:name="_Toc309897493"/>
      <w:bookmarkStart w:id="70" w:name="_Toc307564830"/>
      <w:bookmarkStart w:id="71" w:name="_Toc12194"/>
      <w:bookmarkStart w:id="72" w:name="_Toc308084575"/>
      <w:bookmarkStart w:id="73" w:name="_Toc13801"/>
      <w:bookmarkStart w:id="74" w:name="_Toc327196264"/>
      <w:bookmarkStart w:id="75" w:name="_Toc2775"/>
      <w:bookmarkStart w:id="76" w:name="_Toc524"/>
      <w:bookmarkStart w:id="77" w:name="_Toc156"/>
      <w:bookmarkStart w:id="78" w:name="_Toc217446035"/>
      <w:bookmarkStart w:id="79" w:name="_Toc16858"/>
      <w:bookmarkStart w:id="80" w:name="_Toc19670"/>
      <w:bookmarkStart w:id="81" w:name="_Toc307501087"/>
      <w:bookmarkStart w:id="82" w:name="_Toc13022"/>
      <w:bookmarkStart w:id="83" w:name="_Toc7942"/>
      <w:bookmarkStart w:id="84" w:name="_Toc24985"/>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28"/>
        <w:bidi w:val="0"/>
        <w:rPr>
          <w:rFonts w:hint="eastAsia"/>
          <w:color w:val="auto"/>
          <w:highlight w:val="none"/>
        </w:rPr>
      </w:pPr>
      <w:r>
        <w:rPr>
          <w:rFonts w:hint="eastAsia"/>
          <w:color w:val="auto"/>
          <w:highlight w:val="none"/>
        </w:rPr>
        <w:t>“采购人”系指依法进行政府采购的国家机关、事业单位、团体组织。本次招标的采购人是</w:t>
      </w:r>
      <w:r>
        <w:rPr>
          <w:rFonts w:hint="eastAsia"/>
          <w:color w:val="auto"/>
          <w:highlight w:val="none"/>
          <w:lang w:val="en-US" w:eastAsia="zh-CN"/>
        </w:rPr>
        <w:t>成都市技师学院</w:t>
      </w:r>
      <w:r>
        <w:rPr>
          <w:rFonts w:hint="eastAsia"/>
          <w:color w:val="auto"/>
          <w:highlight w:val="none"/>
        </w:rPr>
        <w:t>。</w:t>
      </w:r>
    </w:p>
    <w:p>
      <w:pPr>
        <w:pStyle w:val="28"/>
        <w:bidi w:val="0"/>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28"/>
        <w:bidi w:val="0"/>
        <w:rPr>
          <w:rFonts w:hint="eastAsia"/>
          <w:color w:val="auto"/>
          <w:highlight w:val="none"/>
        </w:rPr>
      </w:pPr>
      <w:r>
        <w:rPr>
          <w:rFonts w:hint="eastAsia"/>
          <w:color w:val="auto"/>
          <w:highlight w:val="none"/>
        </w:rPr>
        <w:t>“招标采购单位”系指“采购人”和“采购代理机构”的统称。</w:t>
      </w:r>
    </w:p>
    <w:p>
      <w:pPr>
        <w:pStyle w:val="28"/>
        <w:bidi w:val="0"/>
        <w:rPr>
          <w:rFonts w:hint="eastAsia"/>
          <w:color w:val="auto"/>
          <w:highlight w:val="none"/>
        </w:rPr>
      </w:pPr>
      <w:r>
        <w:rPr>
          <w:rFonts w:hint="eastAsia"/>
          <w:color w:val="auto"/>
          <w:highlight w:val="none"/>
        </w:rPr>
        <w:t>“投标人”系指</w:t>
      </w:r>
      <w:r>
        <w:rPr>
          <w:rFonts w:hint="eastAsia"/>
          <w:b w:val="0"/>
          <w:bCs w:val="0"/>
          <w:color w:val="auto"/>
          <w:highlight w:val="none"/>
          <w:lang w:eastAsia="zh-CN"/>
        </w:rPr>
        <w:t>获取</w:t>
      </w:r>
      <w:r>
        <w:rPr>
          <w:rFonts w:hint="eastAsia"/>
          <w:color w:val="auto"/>
          <w:highlight w:val="none"/>
        </w:rPr>
        <w:t>了招标文件拟参加投标和向采购人提供服务的供应商。</w:t>
      </w:r>
    </w:p>
    <w:p>
      <w:pPr>
        <w:pStyle w:val="28"/>
        <w:bidi w:val="0"/>
        <w:rPr>
          <w:rFonts w:hint="eastAsia"/>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28"/>
        <w:bidi w:val="0"/>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27"/>
        <w:bidi w:val="0"/>
        <w:rPr>
          <w:rFonts w:hint="eastAsia"/>
          <w:color w:val="auto"/>
          <w:highlight w:val="none"/>
        </w:rPr>
      </w:pPr>
      <w:bookmarkStart w:id="85" w:name="_Toc327196265"/>
      <w:bookmarkStart w:id="86" w:name="_Toc308188131"/>
      <w:bookmarkStart w:id="87" w:name="_Toc183582207"/>
      <w:bookmarkStart w:id="88" w:name="_Toc308084576"/>
      <w:bookmarkStart w:id="89" w:name="_Toc319440121"/>
      <w:bookmarkStart w:id="90" w:name="_Toc3060"/>
      <w:bookmarkStart w:id="91" w:name="_Toc26508"/>
      <w:bookmarkStart w:id="92" w:name="_Toc309897494"/>
      <w:bookmarkStart w:id="93" w:name="_Toc217390843"/>
      <w:bookmarkStart w:id="94" w:name="_Toc29784"/>
      <w:bookmarkStart w:id="95" w:name="_Toc30244"/>
      <w:bookmarkStart w:id="96" w:name="_Toc24547"/>
      <w:bookmarkStart w:id="97" w:name="_Toc183682344"/>
      <w:bookmarkStart w:id="98" w:name="_Toc7511"/>
      <w:bookmarkStart w:id="99" w:name="_Toc307501088"/>
      <w:bookmarkStart w:id="100" w:name="_Toc23383"/>
      <w:bookmarkStart w:id="101" w:name="_Toc22174"/>
      <w:bookmarkStart w:id="102" w:name="_Toc319439879"/>
      <w:bookmarkStart w:id="103" w:name="_Toc217446036"/>
      <w:bookmarkStart w:id="104" w:name="_Toc307564831"/>
      <w:bookmarkStart w:id="105" w:name="_Toc30689"/>
      <w:bookmarkStart w:id="106" w:name="_Toc31562"/>
      <w:bookmarkStart w:id="107" w:name="_Toc4501"/>
      <w:bookmarkStart w:id="108" w:name="_Toc31295"/>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lang w:val="en-US" w:eastAsia="zh-CN"/>
        </w:rPr>
        <w:t>(实质性要求)</w:t>
      </w:r>
      <w:bookmarkEnd w:id="105"/>
      <w:bookmarkEnd w:id="106"/>
      <w:bookmarkEnd w:id="107"/>
      <w:bookmarkEnd w:id="108"/>
    </w:p>
    <w:p>
      <w:pPr>
        <w:pStyle w:val="29"/>
        <w:bidi w:val="0"/>
        <w:rPr>
          <w:rFonts w:hint="eastAsia"/>
          <w:color w:val="auto"/>
          <w:highlight w:val="none"/>
        </w:rPr>
      </w:pPr>
      <w:r>
        <w:rPr>
          <w:rFonts w:hint="eastAsia"/>
          <w:color w:val="auto"/>
          <w:highlight w:val="none"/>
        </w:rPr>
        <w:t>合格的投标人应具备以下条件：</w:t>
      </w:r>
    </w:p>
    <w:p>
      <w:pPr>
        <w:pStyle w:val="28"/>
        <w:bidi w:val="0"/>
        <w:rPr>
          <w:rFonts w:hint="eastAsia"/>
          <w:color w:val="auto"/>
          <w:highlight w:val="none"/>
        </w:rPr>
      </w:pPr>
      <w:r>
        <w:rPr>
          <w:rFonts w:hint="eastAsia"/>
          <w:color w:val="auto"/>
          <w:highlight w:val="none"/>
        </w:rPr>
        <w:t>本招标文件“投标邀请”第五条规定的条件；</w:t>
      </w:r>
    </w:p>
    <w:p>
      <w:pPr>
        <w:pStyle w:val="28"/>
        <w:bidi w:val="0"/>
        <w:rPr>
          <w:rFonts w:hint="eastAsia"/>
          <w:color w:val="auto"/>
          <w:highlight w:val="none"/>
        </w:rPr>
      </w:pPr>
      <w:r>
        <w:rPr>
          <w:rFonts w:hint="eastAsia"/>
          <w:color w:val="auto"/>
          <w:highlight w:val="none"/>
        </w:rPr>
        <w:t>遵守国家有关的法律、法规、规章和其他政策制度；</w:t>
      </w:r>
    </w:p>
    <w:p>
      <w:pPr>
        <w:pStyle w:val="28"/>
        <w:bidi w:val="0"/>
        <w:rPr>
          <w:rFonts w:hint="eastAsia"/>
          <w:color w:val="auto"/>
          <w:highlight w:val="none"/>
        </w:rPr>
      </w:pPr>
      <w:r>
        <w:rPr>
          <w:rFonts w:hint="eastAsia"/>
          <w:color w:val="auto"/>
          <w:highlight w:val="none"/>
        </w:rPr>
        <w:t>向采购代理机构</w:t>
      </w:r>
      <w:r>
        <w:rPr>
          <w:rFonts w:hint="eastAsia"/>
          <w:color w:val="auto"/>
          <w:highlight w:val="none"/>
          <w:lang w:val="en-US" w:eastAsia="zh-CN"/>
        </w:rPr>
        <w:t>依法获取</w:t>
      </w:r>
      <w:r>
        <w:rPr>
          <w:rFonts w:hint="eastAsia"/>
          <w:color w:val="auto"/>
          <w:highlight w:val="none"/>
        </w:rPr>
        <w:t>了招标文件并</w:t>
      </w:r>
      <w:r>
        <w:rPr>
          <w:rFonts w:hint="eastAsia"/>
          <w:color w:val="auto"/>
          <w:highlight w:val="none"/>
          <w:lang w:val="en-US" w:eastAsia="zh-CN"/>
        </w:rPr>
        <w:t>完成</w:t>
      </w:r>
      <w:r>
        <w:rPr>
          <w:rFonts w:hint="eastAsia"/>
          <w:color w:val="auto"/>
          <w:highlight w:val="none"/>
        </w:rPr>
        <w:t>登记。</w:t>
      </w:r>
    </w:p>
    <w:p>
      <w:pPr>
        <w:pStyle w:val="27"/>
        <w:bidi w:val="0"/>
        <w:rPr>
          <w:rFonts w:hint="eastAsia"/>
          <w:color w:val="auto"/>
          <w:highlight w:val="none"/>
        </w:rPr>
      </w:pPr>
      <w:bookmarkStart w:id="109" w:name="_Toc309897495"/>
      <w:bookmarkStart w:id="110" w:name="_Toc4414"/>
      <w:bookmarkStart w:id="111" w:name="_Toc14323"/>
      <w:bookmarkStart w:id="112" w:name="_Toc9761"/>
      <w:bookmarkStart w:id="113" w:name="_Toc26952"/>
      <w:bookmarkStart w:id="114" w:name="_Toc183582208"/>
      <w:bookmarkStart w:id="115" w:name="_Toc28895"/>
      <w:bookmarkStart w:id="116" w:name="_Toc307501089"/>
      <w:bookmarkStart w:id="117" w:name="_Toc21649"/>
      <w:bookmarkStart w:id="118" w:name="_Toc307564832"/>
      <w:bookmarkStart w:id="119" w:name="_Toc327196266"/>
      <w:bookmarkStart w:id="120" w:name="_Toc319440122"/>
      <w:bookmarkStart w:id="121" w:name="_Toc319439880"/>
      <w:bookmarkStart w:id="122" w:name="_Toc183682345"/>
      <w:bookmarkStart w:id="123" w:name="_Toc217446037"/>
      <w:bookmarkStart w:id="124" w:name="_Toc5067"/>
      <w:bookmarkStart w:id="125" w:name="_Toc12293"/>
      <w:bookmarkStart w:id="126" w:name="_Toc308084577"/>
      <w:bookmarkStart w:id="127" w:name="_Toc308188132"/>
      <w:bookmarkStart w:id="128" w:name="_Toc26745"/>
      <w:bookmarkStart w:id="129" w:name="_Toc20132"/>
      <w:bookmarkStart w:id="130" w:name="_Toc7047"/>
      <w:bookmarkStart w:id="131" w:name="_Toc31729"/>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lang w:val="en-US" w:eastAsia="zh-CN"/>
        </w:rPr>
        <w:t>(实质性要求)</w:t>
      </w:r>
      <w:bookmarkEnd w:id="128"/>
      <w:bookmarkEnd w:id="129"/>
      <w:bookmarkEnd w:id="130"/>
      <w:bookmarkEnd w:id="131"/>
    </w:p>
    <w:p>
      <w:pPr>
        <w:pStyle w:val="29"/>
        <w:bidi w:val="0"/>
        <w:rPr>
          <w:rFonts w:hint="eastAsia"/>
          <w:color w:val="auto"/>
          <w:highlight w:val="none"/>
        </w:rPr>
      </w:pPr>
      <w:r>
        <w:rPr>
          <w:rFonts w:hint="eastAsia"/>
          <w:color w:val="auto"/>
          <w:highlight w:val="none"/>
        </w:rPr>
        <w:t>无论</w:t>
      </w:r>
      <w:r>
        <w:rPr>
          <w:rFonts w:hint="eastAsia"/>
          <w:color w:val="auto"/>
          <w:highlight w:val="none"/>
          <w:lang w:val="en-US" w:eastAsia="zh-CN"/>
        </w:rPr>
        <w:t>投标的</w:t>
      </w:r>
      <w:r>
        <w:rPr>
          <w:rFonts w:hint="eastAsia"/>
          <w:color w:val="auto"/>
          <w:highlight w:val="none"/>
        </w:rPr>
        <w:t>结果如何，投标人参加投标的有关费用由投标人自行承担。</w:t>
      </w:r>
    </w:p>
    <w:p>
      <w:pPr>
        <w:pStyle w:val="27"/>
        <w:bidi w:val="0"/>
        <w:rPr>
          <w:rFonts w:hint="eastAsia"/>
          <w:color w:val="auto"/>
          <w:highlight w:val="none"/>
        </w:rPr>
      </w:pPr>
      <w:bookmarkStart w:id="132" w:name="_Toc18984"/>
      <w:bookmarkStart w:id="133" w:name="_Toc27604"/>
      <w:bookmarkStart w:id="134" w:name="_Toc27927"/>
      <w:bookmarkStart w:id="135" w:name="_Toc28490"/>
      <w:bookmarkStart w:id="136" w:name="_Toc319439881"/>
      <w:bookmarkStart w:id="137" w:name="_Toc307564833"/>
      <w:bookmarkStart w:id="138" w:name="_Toc18993"/>
      <w:bookmarkStart w:id="139" w:name="_Toc308084578"/>
      <w:bookmarkStart w:id="140" w:name="_Toc309897496"/>
      <w:bookmarkStart w:id="141" w:name="_Toc7710"/>
      <w:bookmarkStart w:id="142" w:name="_Toc11996"/>
      <w:bookmarkStart w:id="143" w:name="_Toc327196267"/>
      <w:bookmarkStart w:id="144" w:name="_Toc319440123"/>
      <w:bookmarkStart w:id="145" w:name="_Toc11131"/>
      <w:bookmarkStart w:id="146" w:name="_Toc308188133"/>
      <w:bookmarkStart w:id="147" w:name="_Toc307501090"/>
      <w:bookmarkStart w:id="148" w:name="_Toc433"/>
      <w:bookmarkStart w:id="149" w:name="_Toc2474"/>
      <w:bookmarkStart w:id="150" w:name="_Toc11923"/>
      <w:bookmarkStart w:id="151" w:name="_Toc5564"/>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lang w:val="en-US" w:eastAsia="zh-CN"/>
        </w:rPr>
        <w:t>(实质性要求)</w:t>
      </w:r>
      <w:bookmarkEnd w:id="148"/>
      <w:bookmarkEnd w:id="149"/>
      <w:bookmarkEnd w:id="150"/>
      <w:bookmarkEnd w:id="151"/>
    </w:p>
    <w:p>
      <w:pPr>
        <w:pStyle w:val="28"/>
        <w:bidi w:val="0"/>
        <w:rPr>
          <w:rFonts w:hint="eastAsia"/>
          <w:color w:val="auto"/>
          <w:highlight w:val="none"/>
        </w:rPr>
      </w:pPr>
      <w:bookmarkStart w:id="152" w:name="_Toc13891"/>
      <w:bookmarkStart w:id="153" w:name="_Toc77400779"/>
      <w:bookmarkStart w:id="154" w:name="_Toc217446038"/>
      <w:bookmarkStart w:id="155" w:name="_Toc89075875"/>
      <w:bookmarkStart w:id="156" w:name="_Toc327196268"/>
      <w:bookmarkStart w:id="157" w:name="_Toc183582209"/>
      <w:bookmarkStart w:id="158" w:name="_Toc183682346"/>
      <w:r>
        <w:rPr>
          <w:rFonts w:hint="eastAsia"/>
          <w:color w:val="auto"/>
          <w:highlight w:val="none"/>
        </w:rPr>
        <w:t>利害关系供应商处理。</w:t>
      </w:r>
    </w:p>
    <w:p>
      <w:pPr>
        <w:pStyle w:val="29"/>
        <w:bidi w:val="0"/>
        <w:rPr>
          <w:rFonts w:hint="eastAsia"/>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29"/>
        <w:bidi w:val="0"/>
        <w:rPr>
          <w:rFonts w:hint="eastAsia"/>
          <w:color w:val="auto"/>
          <w:highlight w:val="none"/>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8"/>
        <w:bidi w:val="0"/>
        <w:rPr>
          <w:rFonts w:hint="eastAsia"/>
          <w:color w:val="auto"/>
          <w:highlight w:val="none"/>
        </w:rPr>
      </w:pPr>
      <w:r>
        <w:rPr>
          <w:rFonts w:hint="eastAsia"/>
          <w:color w:val="auto"/>
          <w:highlight w:val="none"/>
        </w:rPr>
        <w:t>前期参与供应商处理。</w:t>
      </w:r>
    </w:p>
    <w:p>
      <w:pPr>
        <w:pStyle w:val="29"/>
        <w:bidi w:val="0"/>
        <w:rPr>
          <w:rFonts w:hint="eastAsia"/>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9"/>
        <w:bidi w:val="0"/>
        <w:rPr>
          <w:rFonts w:hint="eastAsia"/>
          <w:b/>
          <w:bCs/>
          <w:color w:val="auto"/>
          <w:highlight w:val="none"/>
        </w:rPr>
      </w:pPr>
      <w:r>
        <w:rPr>
          <w:rFonts w:hint="eastAsia"/>
          <w:b/>
          <w:bCs/>
          <w:color w:val="auto"/>
          <w:highlight w:val="none"/>
          <w:lang w:val="en-US" w:eastAsia="zh-CN"/>
        </w:rPr>
        <w:t>注：</w:t>
      </w:r>
      <w:r>
        <w:rPr>
          <w:rFonts w:hint="eastAsia"/>
          <w:b/>
          <w:bCs/>
          <w:color w:val="auto"/>
          <w:highlight w:val="none"/>
        </w:rPr>
        <w:t>本项目无符合本条规定的供应商。</w:t>
      </w:r>
    </w:p>
    <w:p>
      <w:pPr>
        <w:pStyle w:val="28"/>
        <w:bidi w:val="0"/>
        <w:rPr>
          <w:rFonts w:hint="eastAsia"/>
          <w:color w:val="auto"/>
          <w:highlight w:val="none"/>
        </w:rPr>
      </w:pPr>
      <w:r>
        <w:rPr>
          <w:rFonts w:hint="eastAsia"/>
          <w:color w:val="auto"/>
          <w:highlight w:val="none"/>
        </w:rPr>
        <w:t>利害关系代理人处理。</w:t>
      </w:r>
    </w:p>
    <w:p>
      <w:pPr>
        <w:pStyle w:val="30"/>
        <w:bidi w:val="0"/>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以上的供应商同时委托同一个自然人、同一家庭的人员、同一单位的人员作为其代理人，其投标文件作为无效处理。</w:t>
      </w:r>
    </w:p>
    <w:p>
      <w:pPr>
        <w:pStyle w:val="30"/>
        <w:bidi w:val="0"/>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供应商实际控制人或者中高级管理人员，同时是采购代理机构工作人员，不得参与本项目政府采购活动。</w:t>
      </w:r>
    </w:p>
    <w:p>
      <w:pPr>
        <w:pStyle w:val="30"/>
        <w:bidi w:val="0"/>
        <w:rPr>
          <w:rFonts w:hint="eastAsia"/>
          <w:color w:val="auto"/>
          <w:highlight w:val="none"/>
          <w:lang w:val="en-US" w:eastAsia="zh-CN"/>
        </w:rPr>
      </w:pPr>
      <w:r>
        <w:rPr>
          <w:rFonts w:hint="eastAsia"/>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0"/>
        <w:bidi w:val="0"/>
        <w:rPr>
          <w:rFonts w:hint="eastAsia"/>
          <w:color w:val="auto"/>
          <w:highlight w:val="none"/>
        </w:rPr>
      </w:pPr>
      <w:r>
        <w:rPr>
          <w:rFonts w:hint="eastAsia"/>
          <w:color w:val="auto"/>
          <w:highlight w:val="none"/>
          <w:lang w:val="en-US" w:eastAsia="zh-CN"/>
        </w:rPr>
        <w:t>供应商与采购代理机构存在关联关系，或者是采购代理机构的母公司或子公司，不得参加本项目政府采购活动。</w:t>
      </w:r>
    </w:p>
    <w:p>
      <w:pPr>
        <w:pStyle w:val="46"/>
        <w:bidi w:val="0"/>
        <w:rPr>
          <w:rFonts w:hint="eastAsia"/>
          <w:color w:val="auto"/>
          <w:highlight w:val="none"/>
        </w:rPr>
      </w:pPr>
      <w:bookmarkStart w:id="159" w:name="_Toc14125"/>
      <w:bookmarkStart w:id="160" w:name="_Toc27564"/>
      <w:bookmarkStart w:id="161" w:name="_Toc12561"/>
      <w:bookmarkStart w:id="162" w:name="_Toc18891"/>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27"/>
        <w:numPr>
          <w:ilvl w:val="2"/>
          <w:numId w:val="12"/>
        </w:numPr>
        <w:bidi w:val="0"/>
        <w:rPr>
          <w:rFonts w:hint="eastAsia"/>
          <w:color w:val="auto"/>
          <w:highlight w:val="none"/>
        </w:rPr>
      </w:pPr>
      <w:bookmarkStart w:id="163" w:name="_Toc5983"/>
      <w:bookmarkStart w:id="164" w:name="_Toc29642"/>
      <w:bookmarkStart w:id="165" w:name="_Toc25874"/>
      <w:bookmarkStart w:id="166" w:name="_Toc19030"/>
      <w:bookmarkStart w:id="167" w:name="_Toc217446039"/>
      <w:bookmarkStart w:id="168" w:name="_Toc22520"/>
      <w:bookmarkStart w:id="169" w:name="_Toc183582210"/>
      <w:bookmarkStart w:id="170" w:name="_Toc25650"/>
      <w:bookmarkStart w:id="171" w:name="_Toc309897498"/>
      <w:bookmarkStart w:id="172" w:name="_Toc29703"/>
      <w:bookmarkStart w:id="173" w:name="_Toc16404"/>
      <w:bookmarkStart w:id="174" w:name="_Toc8808"/>
      <w:bookmarkStart w:id="175" w:name="_Toc17532"/>
      <w:bookmarkStart w:id="176" w:name="_Toc183682347"/>
      <w:bookmarkStart w:id="177" w:name="_Toc21985"/>
      <w:bookmarkStart w:id="178" w:name="_Toc24565"/>
      <w:bookmarkStart w:id="179" w:name="_Toc308084580"/>
      <w:bookmarkStart w:id="180" w:name="_Toc307564835"/>
      <w:bookmarkStart w:id="181" w:name="_Toc308188135"/>
      <w:bookmarkStart w:id="182" w:name="_Toc319439883"/>
      <w:bookmarkStart w:id="183" w:name="_Toc327196269"/>
      <w:bookmarkStart w:id="184" w:name="_Toc307501092"/>
      <w:bookmarkStart w:id="185" w:name="_Toc319440125"/>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28"/>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0"/>
        <w:bidi w:val="0"/>
        <w:rPr>
          <w:rFonts w:hint="eastAsia"/>
          <w:color w:val="auto"/>
          <w:highlight w:val="none"/>
        </w:rPr>
      </w:pPr>
      <w:r>
        <w:rPr>
          <w:rFonts w:hint="eastAsia"/>
          <w:color w:val="auto"/>
          <w:highlight w:val="none"/>
        </w:rPr>
        <w:t>投标邀请；</w:t>
      </w:r>
    </w:p>
    <w:p>
      <w:pPr>
        <w:pStyle w:val="30"/>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包括投标文件的密封、签署、盖章要求等</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投标人应当提交的资格、资信证明文件；</w:t>
      </w:r>
    </w:p>
    <w:p>
      <w:pPr>
        <w:pStyle w:val="30"/>
        <w:bidi w:val="0"/>
        <w:rPr>
          <w:rFonts w:hint="eastAsia"/>
          <w:color w:val="auto"/>
          <w:highlight w:val="none"/>
        </w:rPr>
      </w:pPr>
      <w:r>
        <w:rPr>
          <w:rFonts w:hint="eastAsia"/>
          <w:color w:val="auto"/>
          <w:highlight w:val="none"/>
        </w:rPr>
        <w:t>为落实政府采购政策，采购标的需满足的要求，以及投标人须提供的证明材料；</w:t>
      </w:r>
    </w:p>
    <w:p>
      <w:pPr>
        <w:pStyle w:val="30"/>
        <w:bidi w:val="0"/>
        <w:rPr>
          <w:rFonts w:hint="eastAsia"/>
          <w:color w:val="auto"/>
          <w:highlight w:val="none"/>
        </w:rPr>
      </w:pPr>
      <w:r>
        <w:rPr>
          <w:rFonts w:hint="eastAsia"/>
          <w:color w:val="auto"/>
          <w:highlight w:val="none"/>
        </w:rPr>
        <w:t>投标文件编制要求、投标报价要求和保证金交纳、退还方式以及不予退还的情形；</w:t>
      </w:r>
    </w:p>
    <w:p>
      <w:pPr>
        <w:pStyle w:val="30"/>
        <w:bidi w:val="0"/>
        <w:rPr>
          <w:rFonts w:hint="eastAsia"/>
          <w:color w:val="auto"/>
          <w:highlight w:val="none"/>
        </w:rPr>
      </w:pPr>
      <w:r>
        <w:rPr>
          <w:rFonts w:hint="eastAsia"/>
          <w:color w:val="auto"/>
          <w:highlight w:val="none"/>
        </w:rPr>
        <w:t>采购项目预算金额，设定最高限价的，还应当公开最高限价；</w:t>
      </w:r>
    </w:p>
    <w:p>
      <w:pPr>
        <w:pStyle w:val="30"/>
        <w:bidi w:val="0"/>
        <w:rPr>
          <w:rFonts w:hint="eastAsia"/>
          <w:color w:val="auto"/>
          <w:highlight w:val="none"/>
        </w:rPr>
      </w:pPr>
      <w:r>
        <w:rPr>
          <w:rFonts w:hint="eastAsia"/>
          <w:color w:val="auto"/>
          <w:highlight w:val="none"/>
        </w:rPr>
        <w:t>采购项目的技术规格、数量、服务标准、验收等要求，包括附件、图纸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0"/>
        <w:bidi w:val="0"/>
        <w:rPr>
          <w:rFonts w:hint="eastAsia"/>
          <w:color w:val="auto"/>
          <w:highlight w:val="none"/>
        </w:rPr>
      </w:pPr>
      <w:r>
        <w:rPr>
          <w:rFonts w:hint="eastAsia"/>
          <w:color w:val="auto"/>
          <w:highlight w:val="none"/>
        </w:rPr>
        <w:t>拟签订的合同文本；</w:t>
      </w:r>
    </w:p>
    <w:p>
      <w:pPr>
        <w:pStyle w:val="30"/>
        <w:bidi w:val="0"/>
        <w:rPr>
          <w:rFonts w:hint="eastAsia"/>
          <w:color w:val="auto"/>
          <w:highlight w:val="none"/>
        </w:rPr>
      </w:pPr>
      <w:r>
        <w:rPr>
          <w:rFonts w:hint="eastAsia"/>
          <w:color w:val="auto"/>
          <w:highlight w:val="none"/>
        </w:rPr>
        <w:t>服务提供的时间、地点、方式；</w:t>
      </w:r>
    </w:p>
    <w:p>
      <w:pPr>
        <w:pStyle w:val="30"/>
        <w:bidi w:val="0"/>
        <w:rPr>
          <w:rFonts w:hint="eastAsia"/>
          <w:color w:val="auto"/>
          <w:highlight w:val="none"/>
        </w:rPr>
      </w:pPr>
      <w:r>
        <w:rPr>
          <w:rFonts w:hint="eastAsia"/>
          <w:color w:val="auto"/>
          <w:highlight w:val="none"/>
        </w:rPr>
        <w:t>采购资金的支付方式、时间、条件；</w:t>
      </w:r>
    </w:p>
    <w:p>
      <w:pPr>
        <w:pStyle w:val="30"/>
        <w:bidi w:val="0"/>
        <w:rPr>
          <w:rFonts w:hint="eastAsia"/>
          <w:color w:val="auto"/>
          <w:highlight w:val="none"/>
        </w:rPr>
      </w:pPr>
      <w:r>
        <w:rPr>
          <w:rFonts w:hint="eastAsia"/>
          <w:color w:val="auto"/>
          <w:highlight w:val="none"/>
        </w:rPr>
        <w:t>评标方法、评标标准和投标无效情形；</w:t>
      </w:r>
    </w:p>
    <w:p>
      <w:pPr>
        <w:pStyle w:val="30"/>
        <w:bidi w:val="0"/>
        <w:rPr>
          <w:rFonts w:hint="eastAsia"/>
          <w:color w:val="auto"/>
          <w:highlight w:val="none"/>
        </w:rPr>
      </w:pPr>
      <w:r>
        <w:rPr>
          <w:rFonts w:hint="eastAsia"/>
          <w:color w:val="auto"/>
          <w:highlight w:val="none"/>
        </w:rPr>
        <w:t>投标有效期；</w:t>
      </w:r>
    </w:p>
    <w:p>
      <w:pPr>
        <w:pStyle w:val="30"/>
        <w:bidi w:val="0"/>
        <w:rPr>
          <w:rFonts w:hint="eastAsia"/>
          <w:color w:val="auto"/>
          <w:highlight w:val="none"/>
        </w:rPr>
      </w:pPr>
      <w:r>
        <w:rPr>
          <w:rFonts w:hint="eastAsia"/>
          <w:color w:val="auto"/>
          <w:highlight w:val="none"/>
        </w:rPr>
        <w:t>投标截止时间、开标时间及地点；</w:t>
      </w:r>
    </w:p>
    <w:p>
      <w:pPr>
        <w:pStyle w:val="30"/>
        <w:bidi w:val="0"/>
        <w:rPr>
          <w:rFonts w:hint="eastAsia"/>
          <w:color w:val="auto"/>
          <w:highlight w:val="none"/>
        </w:rPr>
      </w:pPr>
      <w:r>
        <w:rPr>
          <w:rFonts w:hint="eastAsia"/>
          <w:color w:val="auto"/>
          <w:highlight w:val="none"/>
        </w:rPr>
        <w:t>采购代理机构代理费用的收取标准和方式；</w:t>
      </w:r>
    </w:p>
    <w:p>
      <w:pPr>
        <w:pStyle w:val="30"/>
        <w:bidi w:val="0"/>
        <w:rPr>
          <w:rFonts w:hint="eastAsia"/>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0"/>
        <w:bidi w:val="0"/>
        <w:rPr>
          <w:rFonts w:hint="eastAsia"/>
          <w:color w:val="auto"/>
          <w:highlight w:val="none"/>
        </w:rPr>
      </w:pPr>
      <w:r>
        <w:rPr>
          <w:rFonts w:hint="eastAsia"/>
          <w:color w:val="auto"/>
          <w:highlight w:val="none"/>
        </w:rPr>
        <w:t>省级以上财政部门规定的其他事项。</w:t>
      </w:r>
    </w:p>
    <w:p>
      <w:pPr>
        <w:pStyle w:val="28"/>
        <w:numPr>
          <w:ilvl w:val="3"/>
          <w:numId w:val="12"/>
        </w:numPr>
        <w:bidi w:val="0"/>
        <w:rPr>
          <w:rFonts w:hint="eastAsia"/>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7"/>
        <w:bidi w:val="0"/>
        <w:rPr>
          <w:rFonts w:hint="eastAsia"/>
          <w:color w:val="auto"/>
          <w:highlight w:val="none"/>
        </w:rPr>
      </w:pPr>
      <w:bookmarkStart w:id="186" w:name="_Toc183682348"/>
      <w:bookmarkStart w:id="187" w:name="_Toc183582211"/>
      <w:bookmarkStart w:id="188" w:name="_Toc11995"/>
      <w:bookmarkStart w:id="189" w:name="_Toc22085"/>
      <w:bookmarkStart w:id="190" w:name="_Toc17632"/>
      <w:bookmarkStart w:id="191" w:name="_Toc7541"/>
      <w:bookmarkStart w:id="192" w:name="_Toc307564836"/>
      <w:bookmarkStart w:id="193" w:name="_Toc307501093"/>
      <w:bookmarkStart w:id="194" w:name="_Toc16291"/>
      <w:bookmarkStart w:id="195" w:name="_Toc26020"/>
      <w:bookmarkStart w:id="196" w:name="_Toc28827"/>
      <w:bookmarkStart w:id="197" w:name="_Toc309897499"/>
      <w:bookmarkStart w:id="198" w:name="_Toc25894"/>
      <w:bookmarkStart w:id="199" w:name="_Toc319440126"/>
      <w:bookmarkStart w:id="200" w:name="_Toc308084581"/>
      <w:bookmarkStart w:id="201" w:name="_Toc19612"/>
      <w:bookmarkStart w:id="202" w:name="_Toc31172"/>
      <w:bookmarkStart w:id="203" w:name="_Toc319439884"/>
      <w:bookmarkStart w:id="204" w:name="_Toc308188136"/>
      <w:bookmarkStart w:id="205" w:name="_Toc27690"/>
      <w:bookmarkStart w:id="206" w:name="_Toc217446040"/>
      <w:bookmarkStart w:id="207" w:name="_Toc13600"/>
      <w:bookmarkStart w:id="208" w:name="_Toc327196270"/>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28"/>
        <w:bidi w:val="0"/>
        <w:rPr>
          <w:rFonts w:hint="eastAsia"/>
          <w:color w:val="auto"/>
          <w:highlight w:val="none"/>
        </w:rPr>
      </w:pPr>
      <w:bookmarkStart w:id="209" w:name="_Toc3159"/>
      <w:bookmarkStart w:id="210" w:name="_Toc9735"/>
      <w:bookmarkStart w:id="211" w:name="_Toc307501094"/>
      <w:bookmarkStart w:id="212" w:name="_Toc308084582"/>
      <w:bookmarkStart w:id="213" w:name="_Toc308188137"/>
      <w:bookmarkStart w:id="214" w:name="_Toc22061"/>
      <w:bookmarkStart w:id="215" w:name="_Toc6811"/>
      <w:bookmarkStart w:id="216" w:name="_Toc208848971"/>
      <w:bookmarkStart w:id="217" w:name="_Toc7026"/>
      <w:bookmarkStart w:id="218" w:name="_Toc319439885"/>
      <w:bookmarkStart w:id="219" w:name="_Toc8838"/>
      <w:bookmarkStart w:id="220" w:name="_Toc307564837"/>
      <w:bookmarkStart w:id="221" w:name="_Toc217446041"/>
      <w:bookmarkStart w:id="222" w:name="_Toc327196271"/>
      <w:bookmarkStart w:id="223" w:name="_Toc2637"/>
      <w:bookmarkStart w:id="224" w:name="_Toc3361"/>
      <w:bookmarkStart w:id="225" w:name="_Toc309897500"/>
      <w:bookmarkStart w:id="226" w:name="_Toc17111"/>
      <w:bookmarkStart w:id="227" w:name="_Toc319440127"/>
      <w:bookmarkStart w:id="228" w:name="_Toc24226"/>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28"/>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28"/>
        <w:bidi w:val="0"/>
        <w:rPr>
          <w:b/>
          <w:bCs/>
          <w:color w:val="auto"/>
          <w:highlight w:val="none"/>
        </w:rPr>
      </w:pPr>
      <w:r>
        <w:rPr>
          <w:rFonts w:hint="eastAsia"/>
          <w:b/>
          <w:bCs/>
          <w:color w:val="auto"/>
          <w:highlight w:val="none"/>
        </w:rPr>
        <w:t>供应商应于投标文件递交截止时间之前在</w:t>
      </w:r>
      <w:r>
        <w:rPr>
          <w:rFonts w:hint="eastAsia"/>
          <w:b/>
          <w:bCs/>
          <w:color w:val="auto"/>
          <w:highlight w:val="none"/>
          <w:lang w:eastAsia="zh-CN"/>
        </w:rPr>
        <w:t>“</w:t>
      </w:r>
      <w:r>
        <w:rPr>
          <w:rFonts w:hint="eastAsia"/>
          <w:b/>
          <w:bCs/>
          <w:color w:val="auto"/>
          <w:highlight w:val="none"/>
        </w:rPr>
        <w:t>四川政府采购网</w:t>
      </w:r>
      <w:r>
        <w:rPr>
          <w:rFonts w:hint="eastAsia"/>
          <w:b/>
          <w:bCs/>
          <w:color w:val="auto"/>
          <w:highlight w:val="none"/>
          <w:lang w:eastAsia="zh-CN"/>
        </w:rPr>
        <w:t>”</w:t>
      </w:r>
      <w:r>
        <w:rPr>
          <w:rFonts w:hint="eastAsia"/>
          <w:b/>
          <w:bCs/>
          <w:color w:val="auto"/>
          <w:highlight w:val="none"/>
        </w:rPr>
        <w:t>查询本项目的更正公告，以保证其对招标文件做出正确的响应。供应商未按要求下载相关文件，或由于未及时关注更正公告的信息造成的后果，其责任由供应商自行负责。</w:t>
      </w:r>
    </w:p>
    <w:p>
      <w:pPr>
        <w:pStyle w:val="27"/>
        <w:bidi w:val="0"/>
        <w:rPr>
          <w:rFonts w:hint="eastAsia"/>
          <w:color w:val="auto"/>
          <w:highlight w:val="none"/>
        </w:rPr>
      </w:pPr>
      <w:bookmarkStart w:id="229" w:name="_Toc28504"/>
      <w:bookmarkStart w:id="230" w:name="_Toc31570"/>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28"/>
        <w:bidi w:val="0"/>
        <w:rPr>
          <w:rFonts w:hint="eastAsia"/>
          <w:color w:val="auto"/>
          <w:highlight w:val="none"/>
        </w:rPr>
      </w:pPr>
      <w:bookmarkStart w:id="231" w:name="_Toc183682351"/>
      <w:bookmarkStart w:id="232" w:name="_Toc183582214"/>
      <w:bookmarkStart w:id="233" w:name="_Toc77400780"/>
      <w:bookmarkStart w:id="234" w:name="_Toc327196272"/>
      <w:bookmarkStart w:id="235" w:name="_Toc20199"/>
      <w:bookmarkStart w:id="236" w:name="_Toc89075876"/>
      <w:bookmarkStart w:id="237" w:name="_Toc217446042"/>
      <w:r>
        <w:rPr>
          <w:rFonts w:hint="eastAsia"/>
          <w:color w:val="auto"/>
          <w:highlight w:val="none"/>
        </w:rPr>
        <w:t>采购人、采购代理机构可以视采购项目的具体情况，组织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28"/>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6"/>
        <w:bidi w:val="0"/>
        <w:rPr>
          <w:rFonts w:hint="eastAsia"/>
          <w:color w:val="auto"/>
          <w:highlight w:val="none"/>
        </w:rPr>
      </w:pPr>
      <w:bookmarkStart w:id="238" w:name="_Toc27479"/>
      <w:bookmarkStart w:id="239" w:name="_Toc615"/>
      <w:bookmarkStart w:id="240" w:name="_Toc16131"/>
      <w:bookmarkStart w:id="241" w:name="_Toc8899"/>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27"/>
        <w:numPr>
          <w:ilvl w:val="2"/>
          <w:numId w:val="13"/>
        </w:numPr>
        <w:bidi w:val="0"/>
        <w:rPr>
          <w:rFonts w:hint="eastAsia"/>
          <w:color w:val="auto"/>
          <w:highlight w:val="none"/>
        </w:rPr>
      </w:pPr>
      <w:bookmarkStart w:id="242" w:name="_Toc27053"/>
      <w:bookmarkStart w:id="243" w:name="_Toc319440129"/>
      <w:bookmarkStart w:id="244" w:name="_Toc308188139"/>
      <w:bookmarkStart w:id="245" w:name="_Toc23564"/>
      <w:bookmarkStart w:id="246" w:name="_Toc3041"/>
      <w:bookmarkStart w:id="247" w:name="_Toc307501096"/>
      <w:bookmarkStart w:id="248" w:name="_Toc183582215"/>
      <w:bookmarkStart w:id="249" w:name="_Toc21169"/>
      <w:bookmarkStart w:id="250" w:name="_Toc2601"/>
      <w:bookmarkStart w:id="251" w:name="_Toc183682352"/>
      <w:bookmarkStart w:id="252" w:name="_Toc319439887"/>
      <w:bookmarkStart w:id="253" w:name="_Toc1641"/>
      <w:bookmarkStart w:id="254" w:name="_Toc217446043"/>
      <w:bookmarkStart w:id="255" w:name="_Toc308084584"/>
      <w:bookmarkStart w:id="256" w:name="_Toc307564839"/>
      <w:bookmarkStart w:id="257" w:name="_Toc327196273"/>
      <w:bookmarkStart w:id="258" w:name="_Toc26076"/>
      <w:bookmarkStart w:id="259" w:name="_Toc309897502"/>
      <w:bookmarkStart w:id="260" w:name="_Toc29330"/>
      <w:bookmarkStart w:id="261" w:name="_Toc14178"/>
      <w:bookmarkStart w:id="262" w:name="_Toc3784"/>
      <w:bookmarkStart w:id="263" w:name="_Toc8388"/>
      <w:bookmarkStart w:id="264" w:name="_Toc11217"/>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lang w:val="en-US" w:eastAsia="zh-CN"/>
        </w:rPr>
        <w:t>(实质性要求)</w:t>
      </w:r>
      <w:bookmarkEnd w:id="261"/>
      <w:bookmarkEnd w:id="262"/>
      <w:bookmarkEnd w:id="263"/>
      <w:bookmarkEnd w:id="264"/>
    </w:p>
    <w:p>
      <w:pPr>
        <w:pStyle w:val="28"/>
        <w:bidi w:val="0"/>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行业标准、国家标准、国际标准或行业认证等需要以非中文表述且不宜翻译为中文的除外。</w:t>
      </w:r>
    </w:p>
    <w:p>
      <w:pPr>
        <w:pStyle w:val="28"/>
        <w:bidi w:val="0"/>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27"/>
        <w:bidi w:val="0"/>
        <w:rPr>
          <w:rFonts w:hint="eastAsia"/>
          <w:color w:val="auto"/>
          <w:highlight w:val="none"/>
        </w:rPr>
      </w:pPr>
      <w:bookmarkStart w:id="265" w:name="_Toc183682353"/>
      <w:bookmarkStart w:id="266" w:name="_Toc309897503"/>
      <w:bookmarkStart w:id="267" w:name="_Toc319440130"/>
      <w:bookmarkStart w:id="268" w:name="_Toc11901"/>
      <w:bookmarkStart w:id="269" w:name="_Toc15226"/>
      <w:bookmarkStart w:id="270" w:name="_Toc20091"/>
      <w:bookmarkStart w:id="271" w:name="_Toc307564840"/>
      <w:bookmarkStart w:id="272" w:name="_Toc217446044"/>
      <w:bookmarkStart w:id="273" w:name="_Toc20188"/>
      <w:bookmarkStart w:id="274" w:name="_Toc319439888"/>
      <w:bookmarkStart w:id="275" w:name="_Toc183582216"/>
      <w:bookmarkStart w:id="276" w:name="_Toc2379"/>
      <w:bookmarkStart w:id="277" w:name="_Toc308188140"/>
      <w:bookmarkStart w:id="278" w:name="_Toc15145"/>
      <w:bookmarkStart w:id="279" w:name="_Toc308084585"/>
      <w:bookmarkStart w:id="280" w:name="_Toc17444"/>
      <w:bookmarkStart w:id="281" w:name="_Toc12195"/>
      <w:bookmarkStart w:id="282" w:name="_Toc307501097"/>
      <w:bookmarkStart w:id="283" w:name="_Toc327196274"/>
      <w:bookmarkStart w:id="284" w:name="_Toc14425"/>
      <w:bookmarkStart w:id="285" w:name="_Toc10594"/>
      <w:bookmarkStart w:id="286" w:name="_Toc12658"/>
      <w:bookmarkStart w:id="287" w:name="_Toc18700"/>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lang w:val="en-US" w:eastAsia="zh-CN"/>
        </w:rPr>
        <w:t>(实质性要求)</w:t>
      </w:r>
      <w:bookmarkEnd w:id="284"/>
      <w:bookmarkEnd w:id="285"/>
      <w:bookmarkEnd w:id="286"/>
      <w:bookmarkEnd w:id="287"/>
    </w:p>
    <w:p>
      <w:pPr>
        <w:pStyle w:val="29"/>
        <w:bidi w:val="0"/>
        <w:rPr>
          <w:rFonts w:hint="eastAsia"/>
          <w:color w:val="auto"/>
          <w:highlight w:val="none"/>
        </w:rPr>
      </w:pPr>
      <w:r>
        <w:rPr>
          <w:rFonts w:hint="eastAsia"/>
          <w:color w:val="auto"/>
          <w:highlight w:val="none"/>
        </w:rPr>
        <w:t>除技术规格及要求中另有规定外，本采购项下的投标均采用国家法定的计量单位。</w:t>
      </w:r>
    </w:p>
    <w:p>
      <w:pPr>
        <w:pStyle w:val="27"/>
        <w:bidi w:val="0"/>
        <w:rPr>
          <w:rFonts w:hint="eastAsia"/>
          <w:color w:val="auto"/>
          <w:highlight w:val="none"/>
        </w:rPr>
      </w:pPr>
      <w:bookmarkStart w:id="288" w:name="_Toc25216"/>
      <w:bookmarkStart w:id="289" w:name="_Toc8881"/>
      <w:bookmarkStart w:id="290" w:name="_Toc308188141"/>
      <w:bookmarkStart w:id="291" w:name="_Toc327196275"/>
      <w:bookmarkStart w:id="292" w:name="_Toc8803"/>
      <w:bookmarkStart w:id="293" w:name="_Toc15435"/>
      <w:bookmarkStart w:id="294" w:name="_Toc16798"/>
      <w:bookmarkStart w:id="295" w:name="_Toc698"/>
      <w:bookmarkStart w:id="296" w:name="_Toc307501098"/>
      <w:bookmarkStart w:id="297" w:name="_Toc308084586"/>
      <w:bookmarkStart w:id="298" w:name="_Toc319440131"/>
      <w:bookmarkStart w:id="299" w:name="_Toc22739"/>
      <w:bookmarkStart w:id="300" w:name="_Toc217446045"/>
      <w:bookmarkStart w:id="301" w:name="_Toc24761"/>
      <w:bookmarkStart w:id="302" w:name="_Toc319439889"/>
      <w:bookmarkStart w:id="303" w:name="_Toc309897504"/>
      <w:bookmarkStart w:id="304" w:name="_Toc307564841"/>
      <w:bookmarkStart w:id="305" w:name="_Toc11633"/>
      <w:bookmarkStart w:id="306" w:name="_Toc12664"/>
      <w:bookmarkStart w:id="307" w:name="_Toc20780"/>
      <w:bookmarkStart w:id="308" w:name="_Toc19960"/>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lang w:val="en-US" w:eastAsia="zh-CN"/>
        </w:rPr>
        <w:t>(实质性要求)</w:t>
      </w:r>
      <w:bookmarkEnd w:id="305"/>
      <w:bookmarkEnd w:id="306"/>
      <w:bookmarkEnd w:id="307"/>
      <w:bookmarkEnd w:id="308"/>
    </w:p>
    <w:p>
      <w:pPr>
        <w:pStyle w:val="29"/>
        <w:bidi w:val="0"/>
        <w:rPr>
          <w:rFonts w:hint="eastAsia"/>
          <w:color w:val="auto"/>
          <w:highlight w:val="none"/>
        </w:rPr>
      </w:pPr>
      <w:r>
        <w:rPr>
          <w:rFonts w:hint="eastAsia"/>
          <w:color w:val="auto"/>
          <w:highlight w:val="none"/>
        </w:rPr>
        <w:t>本次招标项目的投标均以人民币报价。</w:t>
      </w:r>
    </w:p>
    <w:p>
      <w:pPr>
        <w:pStyle w:val="27"/>
        <w:bidi w:val="0"/>
        <w:rPr>
          <w:rFonts w:hint="eastAsia"/>
          <w:color w:val="auto"/>
          <w:highlight w:val="none"/>
          <w:lang w:eastAsia="zh-CN"/>
        </w:rPr>
      </w:pPr>
      <w:bookmarkStart w:id="309" w:name="_Toc8550"/>
      <w:bookmarkStart w:id="310" w:name="_Toc21894"/>
      <w:bookmarkStart w:id="311" w:name="_Toc21797"/>
      <w:bookmarkStart w:id="312" w:name="_Toc32667"/>
      <w:bookmarkStart w:id="313" w:name="_Toc308188142"/>
      <w:bookmarkStart w:id="314" w:name="_Toc309897505"/>
      <w:bookmarkStart w:id="315" w:name="_Toc307501099"/>
      <w:bookmarkStart w:id="316" w:name="_Toc319440132"/>
      <w:bookmarkStart w:id="317" w:name="_Toc24432"/>
      <w:bookmarkStart w:id="318" w:name="_Toc4336"/>
      <w:bookmarkStart w:id="319" w:name="_Toc319439890"/>
      <w:bookmarkStart w:id="320" w:name="_Toc327196276"/>
      <w:bookmarkStart w:id="321" w:name="_Toc32108"/>
      <w:bookmarkStart w:id="322" w:name="_Toc25923"/>
      <w:bookmarkStart w:id="323" w:name="_Toc7935"/>
      <w:bookmarkStart w:id="324" w:name="_Toc307564842"/>
      <w:bookmarkStart w:id="325" w:name="_Toc217446046"/>
      <w:bookmarkStart w:id="326" w:name="_Toc16409"/>
      <w:bookmarkStart w:id="327" w:name="_Toc308084587"/>
      <w:bookmarkStart w:id="328" w:name="_Toc15074"/>
      <w:bookmarkStart w:id="329" w:name="_Toc25266"/>
      <w:bookmarkStart w:id="330" w:name="_Toc26778"/>
      <w:bookmarkStart w:id="331" w:name="_Toc7819"/>
      <w:bookmarkStart w:id="332" w:name="_Toc10974"/>
      <w:bookmarkStart w:id="333" w:name="_Toc307564843"/>
      <w:bookmarkStart w:id="334" w:name="_Toc3781"/>
      <w:bookmarkStart w:id="335" w:name="_Toc13754"/>
      <w:bookmarkStart w:id="336" w:name="_Toc308188143"/>
      <w:bookmarkStart w:id="337" w:name="_Toc319440133"/>
      <w:bookmarkStart w:id="338" w:name="_Toc308084588"/>
      <w:bookmarkStart w:id="339" w:name="_Toc18912"/>
      <w:bookmarkStart w:id="340" w:name="_Toc327196277"/>
      <w:bookmarkStart w:id="341" w:name="_Toc27877"/>
      <w:bookmarkStart w:id="342" w:name="_Toc319439891"/>
      <w:bookmarkStart w:id="343" w:name="_Toc30958"/>
      <w:bookmarkStart w:id="344" w:name="_Toc309897506"/>
      <w:bookmarkStart w:id="345" w:name="_Toc2050"/>
      <w:bookmarkStart w:id="346" w:name="_Toc307501100"/>
      <w:bookmarkStart w:id="347" w:name="_Toc217446047"/>
      <w:bookmarkStart w:id="348" w:name="_Toc15468"/>
      <w:bookmarkStart w:id="349" w:name="_Toc9626"/>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lang w:val="en-US" w:eastAsia="zh-CN"/>
        </w:rPr>
        <w:t>(实质性要求)</w:t>
      </w:r>
      <w:bookmarkEnd w:id="330"/>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本项目不接受联合体投标。</w:t>
      </w:r>
    </w:p>
    <w:p>
      <w:pPr>
        <w:pStyle w:val="27"/>
        <w:bidi w:val="0"/>
        <w:rPr>
          <w:rFonts w:hint="eastAsia"/>
          <w:color w:val="auto"/>
          <w:highlight w:val="none"/>
        </w:rPr>
      </w:pPr>
      <w:bookmarkStart w:id="350" w:name="_Toc30421"/>
      <w:bookmarkStart w:id="351" w:name="_Toc4070"/>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lang w:val="en-US" w:eastAsia="zh-CN"/>
        </w:rPr>
        <w:t>(实质性要求)</w:t>
      </w:r>
      <w:bookmarkEnd w:id="348"/>
      <w:bookmarkEnd w:id="349"/>
      <w:bookmarkEnd w:id="350"/>
      <w:bookmarkEnd w:id="351"/>
    </w:p>
    <w:p>
      <w:pPr>
        <w:pStyle w:val="28"/>
        <w:bidi w:val="0"/>
        <w:rPr>
          <w:color w:val="auto"/>
          <w:highlight w:val="none"/>
        </w:rPr>
      </w:pPr>
      <w:bookmarkStart w:id="352" w:name="_Toc307501101"/>
      <w:bookmarkStart w:id="353" w:name="_Toc319440134"/>
      <w:bookmarkStart w:id="354" w:name="_Toc6143"/>
      <w:bookmarkStart w:id="355" w:name="_Toc307564844"/>
      <w:bookmarkStart w:id="356" w:name="_Toc11856"/>
      <w:bookmarkStart w:id="357" w:name="_Toc30708"/>
      <w:bookmarkStart w:id="358" w:name="_Toc308188144"/>
      <w:bookmarkStart w:id="359" w:name="_Toc183582217"/>
      <w:bookmarkStart w:id="360" w:name="_Toc319439892"/>
      <w:bookmarkStart w:id="361" w:name="_Toc183682354"/>
      <w:bookmarkStart w:id="362" w:name="_Toc2706"/>
      <w:bookmarkStart w:id="363" w:name="_Toc309897507"/>
      <w:bookmarkStart w:id="364" w:name="_Toc308084589"/>
      <w:bookmarkStart w:id="365" w:name="_Toc217446048"/>
      <w:bookmarkStart w:id="366" w:name="_Toc327196278"/>
      <w:bookmarkStart w:id="367" w:name="_Toc1140"/>
      <w:bookmarkStart w:id="368" w:name="_Toc5369"/>
      <w:bookmarkStart w:id="369" w:name="_Toc16281"/>
      <w:bookmarkStart w:id="370" w:name="_Toc10817"/>
      <w:bookmarkStart w:id="371" w:name="_Toc8432"/>
      <w:bookmarkStart w:id="372" w:name="_Toc7660"/>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8"/>
        <w:bidi w:val="0"/>
        <w:rPr>
          <w:color w:val="auto"/>
          <w:highlight w:val="none"/>
        </w:rPr>
      </w:pPr>
      <w:r>
        <w:rPr>
          <w:rFonts w:hint="eastAsia"/>
          <w:color w:val="auto"/>
          <w:highlight w:val="none"/>
        </w:rPr>
        <w:t>采购人享有本项目实施过程中产生的知识成果及知识产权。</w:t>
      </w:r>
    </w:p>
    <w:p>
      <w:pPr>
        <w:pStyle w:val="28"/>
        <w:bidi w:val="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28"/>
        <w:bidi w:val="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28"/>
        <w:bidi w:val="0"/>
        <w:rPr>
          <w:color w:val="auto"/>
          <w:highlight w:val="none"/>
        </w:rPr>
      </w:pPr>
      <w:r>
        <w:rPr>
          <w:rFonts w:hint="eastAsia"/>
          <w:color w:val="auto"/>
          <w:highlight w:val="none"/>
        </w:rPr>
        <w:t>如采购项目涉及知识产权时按照此条要求执行</w:t>
      </w:r>
      <w:r>
        <w:rPr>
          <w:rFonts w:hint="eastAsia"/>
          <w:color w:val="auto"/>
          <w:highlight w:val="none"/>
          <w:lang w:eastAsia="zh-CN"/>
        </w:rPr>
        <w:t>，</w:t>
      </w:r>
      <w:r>
        <w:rPr>
          <w:rFonts w:hint="eastAsia"/>
          <w:color w:val="auto"/>
          <w:highlight w:val="none"/>
          <w:lang w:val="en-US" w:eastAsia="zh-CN"/>
        </w:rPr>
        <w:t>并在评审时作实质性审查。</w:t>
      </w:r>
    </w:p>
    <w:p>
      <w:pPr>
        <w:pStyle w:val="27"/>
        <w:bidi w:val="0"/>
        <w:rPr>
          <w:rFonts w:hint="eastAsia"/>
          <w:color w:val="auto"/>
          <w:highlight w:val="none"/>
        </w:rPr>
      </w:pPr>
      <w:bookmarkStart w:id="373" w:name="_Toc28370"/>
      <w:bookmarkStart w:id="374" w:name="_Toc22363"/>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29"/>
        <w:bidi w:val="0"/>
        <w:rPr>
          <w:rFonts w:hint="eastAsia"/>
          <w:color w:val="auto"/>
          <w:highlight w:val="none"/>
        </w:rPr>
      </w:pPr>
      <w:bookmarkStart w:id="375" w:name="_Toc307501102"/>
      <w:bookmarkStart w:id="376" w:name="_Toc183682355"/>
      <w:bookmarkStart w:id="377" w:name="_Toc217446049"/>
      <w:bookmarkStart w:id="378" w:name="_Toc183582218"/>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w:t>
      </w:r>
      <w:r>
        <w:rPr>
          <w:rFonts w:hint="eastAsia"/>
          <w:color w:val="auto"/>
          <w:highlight w:val="none"/>
          <w:lang w:val="en-US" w:eastAsia="zh-CN"/>
        </w:rPr>
        <w:t>以下两</w:t>
      </w:r>
      <w:r>
        <w:rPr>
          <w:rFonts w:hint="eastAsia"/>
          <w:color w:val="auto"/>
          <w:highlight w:val="none"/>
        </w:rPr>
        <w:t>部分：</w:t>
      </w:r>
    </w:p>
    <w:p>
      <w:pPr>
        <w:pStyle w:val="28"/>
        <w:bidi w:val="0"/>
        <w:rPr>
          <w:rFonts w:hint="eastAsia"/>
          <w:b/>
          <w:bCs/>
          <w:color w:val="auto"/>
          <w:highlight w:val="none"/>
          <w:lang w:val="en-US" w:eastAsia="zh-CN"/>
        </w:rPr>
      </w:pPr>
      <w:r>
        <w:rPr>
          <w:rFonts w:hint="eastAsia"/>
          <w:b/>
          <w:bCs/>
          <w:color w:val="auto"/>
          <w:highlight w:val="none"/>
          <w:lang w:val="en-US" w:eastAsia="zh-CN"/>
        </w:rPr>
        <w:t>第一部分：资格、资质性及其他类似效力投标文件(用于资格审查)</w:t>
      </w:r>
    </w:p>
    <w:p>
      <w:pPr>
        <w:pStyle w:val="29"/>
        <w:bidi w:val="0"/>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28"/>
        <w:bidi w:val="0"/>
        <w:rPr>
          <w:rFonts w:hint="eastAsia"/>
          <w:b/>
          <w:bCs/>
          <w:color w:val="auto"/>
          <w:highlight w:val="none"/>
          <w:lang w:eastAsia="zh-CN"/>
        </w:rPr>
      </w:pPr>
      <w:r>
        <w:rPr>
          <w:rFonts w:hint="eastAsia"/>
          <w:b/>
          <w:bCs/>
          <w:color w:val="auto"/>
          <w:highlight w:val="none"/>
          <w:lang w:val="en-US" w:eastAsia="zh-CN"/>
        </w:rPr>
        <w:t>第二部分</w:t>
      </w:r>
      <w:r>
        <w:rPr>
          <w:rFonts w:hint="eastAsia"/>
          <w:b/>
          <w:bCs/>
          <w:color w:val="auto"/>
          <w:highlight w:val="none"/>
        </w:rPr>
        <w:t>：其它投标文件</w:t>
      </w:r>
      <w:r>
        <w:rPr>
          <w:rFonts w:hint="eastAsia"/>
          <w:b/>
          <w:bCs/>
          <w:color w:val="auto"/>
          <w:highlight w:val="none"/>
          <w:lang w:eastAsia="zh-CN"/>
        </w:rPr>
        <w:t>(</w:t>
      </w:r>
      <w:r>
        <w:rPr>
          <w:rFonts w:hint="eastAsia"/>
          <w:b/>
          <w:bCs/>
          <w:color w:val="auto"/>
          <w:highlight w:val="none"/>
        </w:rPr>
        <w:t>用于资格审查以外的评标</w:t>
      </w:r>
      <w:r>
        <w:rPr>
          <w:rFonts w:hint="eastAsia"/>
          <w:b/>
          <w:bCs/>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0"/>
        <w:numPr>
          <w:ilvl w:val="3"/>
          <w:numId w:val="0"/>
        </w:numPr>
        <w:bidi w:val="0"/>
        <w:ind w:leftChars="200"/>
        <w:rPr>
          <w:rFonts w:hint="eastAsia"/>
          <w:color w:val="auto"/>
          <w:highlight w:val="none"/>
        </w:rPr>
      </w:pPr>
      <w:r>
        <w:rPr>
          <w:rFonts w:hint="eastAsia"/>
          <w:color w:val="auto"/>
          <w:highlight w:val="none"/>
        </w:rPr>
        <w:t>投标人按照以下要求填写的“开标一览表”。本次招标报价要求：</w:t>
      </w:r>
    </w:p>
    <w:p>
      <w:pPr>
        <w:pStyle w:val="31"/>
        <w:bidi w:val="0"/>
        <w:rPr>
          <w:color w:val="auto"/>
          <w:highlight w:val="none"/>
        </w:rPr>
      </w:pPr>
      <w:r>
        <w:rPr>
          <w:rFonts w:hint="eastAsia"/>
          <w:color w:val="auto"/>
          <w:highlight w:val="none"/>
        </w:rPr>
        <w:t>投标人的报价是投标人响应招标项目要求的全部工作内容的</w:t>
      </w:r>
      <w:r>
        <w:rPr>
          <w:rFonts w:hint="eastAsia"/>
          <w:color w:val="auto"/>
          <w:highlight w:val="none"/>
          <w:lang w:val="en-US" w:eastAsia="zh-CN"/>
        </w:rPr>
        <w:t>单价</w:t>
      </w:r>
      <w:r>
        <w:rPr>
          <w:rFonts w:hint="eastAsia"/>
          <w:color w:val="auto"/>
          <w:highlight w:val="none"/>
        </w:rPr>
        <w:t>体现，包括完成本项目所涉及的一切费用</w:t>
      </w:r>
      <w:r>
        <w:rPr>
          <w:rFonts w:hint="eastAsia"/>
          <w:color w:val="auto"/>
          <w:highlight w:val="none"/>
          <w:lang w:val="en-US" w:eastAsia="zh-CN"/>
        </w:rPr>
        <w:t>(含招标代理服务费)</w:t>
      </w:r>
      <w:r>
        <w:rPr>
          <w:rFonts w:hint="eastAsia"/>
          <w:color w:val="auto"/>
          <w:highlight w:val="none"/>
        </w:rPr>
        <w:t>。</w:t>
      </w:r>
    </w:p>
    <w:p>
      <w:pPr>
        <w:pStyle w:val="31"/>
        <w:bidi w:val="0"/>
        <w:rPr>
          <w:color w:val="auto"/>
          <w:highlight w:val="none"/>
        </w:rPr>
      </w:pPr>
      <w:r>
        <w:rPr>
          <w:rFonts w:hint="eastAsia"/>
          <w:color w:val="auto"/>
          <w:highlight w:val="none"/>
        </w:rPr>
        <w:t>投标人</w:t>
      </w:r>
      <w:r>
        <w:rPr>
          <w:rFonts w:hint="eastAsia"/>
          <w:color w:val="auto"/>
          <w:highlight w:val="none"/>
          <w:lang w:val="en-US" w:eastAsia="zh-CN"/>
        </w:rPr>
        <w:t>针对各项年龄段(类别)</w:t>
      </w:r>
      <w:r>
        <w:rPr>
          <w:rFonts w:hint="eastAsia"/>
          <w:color w:val="auto"/>
          <w:highlight w:val="none"/>
        </w:rPr>
        <w:t>只允许有一个报价，并且在合同履行过程中是固定不变的，任何有选择或可调整的报价将不予接受，并按无效投标处理。</w:t>
      </w:r>
    </w:p>
    <w:p>
      <w:pPr>
        <w:pStyle w:val="30"/>
        <w:bidi w:val="0"/>
        <w:rPr>
          <w:rFonts w:hint="eastAsia"/>
          <w:b/>
          <w:bCs/>
          <w:color w:val="auto"/>
          <w:highlight w:val="none"/>
          <w:lang w:val="zh-CN"/>
        </w:rPr>
      </w:pPr>
      <w:r>
        <w:rPr>
          <w:rFonts w:hint="eastAsia"/>
          <w:b/>
          <w:bCs/>
          <w:color w:val="auto"/>
          <w:highlight w:val="none"/>
          <w:lang w:val="en-US" w:eastAsia="zh-CN"/>
        </w:rPr>
        <w:t xml:space="preserve"> 服务</w:t>
      </w:r>
      <w:r>
        <w:rPr>
          <w:rFonts w:hint="eastAsia"/>
          <w:b/>
          <w:bCs/>
          <w:color w:val="auto"/>
          <w:highlight w:val="none"/>
          <w:lang w:val="zh-CN"/>
        </w:rPr>
        <w:t>部分</w:t>
      </w:r>
    </w:p>
    <w:p>
      <w:pPr>
        <w:pStyle w:val="29"/>
        <w:bidi w:val="0"/>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lang w:val="zh-CN" w:eastAsia="zh-CN"/>
        </w:rPr>
        <w:t>服务</w:t>
      </w:r>
      <w:r>
        <w:rPr>
          <w:rFonts w:hint="eastAsia"/>
          <w:color w:val="auto"/>
          <w:highlight w:val="none"/>
          <w:lang w:val="zh-CN"/>
        </w:rPr>
        <w:t>应答，主要是针对招标项目的</w:t>
      </w:r>
      <w:r>
        <w:rPr>
          <w:rFonts w:hint="eastAsia"/>
          <w:color w:val="auto"/>
          <w:highlight w:val="none"/>
          <w:lang w:val="zh-CN" w:eastAsia="zh-CN"/>
        </w:rPr>
        <w:t>服务</w:t>
      </w:r>
      <w:r>
        <w:rPr>
          <w:rFonts w:hint="eastAsia"/>
          <w:color w:val="auto"/>
          <w:highlight w:val="none"/>
          <w:lang w:val="zh-CN"/>
        </w:rPr>
        <w:t>要求做出的实质性响应和满足。投标人的</w:t>
      </w:r>
      <w:r>
        <w:rPr>
          <w:rFonts w:hint="eastAsia"/>
          <w:color w:val="auto"/>
          <w:highlight w:val="none"/>
          <w:lang w:val="zh-CN" w:eastAsia="zh-CN"/>
        </w:rPr>
        <w:t>服务</w:t>
      </w:r>
      <w:r>
        <w:rPr>
          <w:rFonts w:hint="eastAsia"/>
          <w:color w:val="auto"/>
          <w:highlight w:val="none"/>
          <w:lang w:val="zh-CN"/>
        </w:rPr>
        <w:t>应答</w:t>
      </w:r>
      <w:r>
        <w:rPr>
          <w:rFonts w:hint="eastAsia"/>
          <w:color w:val="auto"/>
          <w:highlight w:val="none"/>
          <w:lang w:val="zh-CN" w:eastAsia="zh-CN"/>
        </w:rPr>
        <w:t>应尽可能</w:t>
      </w:r>
      <w:r>
        <w:rPr>
          <w:rFonts w:hint="eastAsia"/>
          <w:color w:val="auto"/>
          <w:highlight w:val="none"/>
          <w:lang w:val="zh-CN"/>
        </w:rPr>
        <w:t>包括下列内容：</w:t>
      </w:r>
    </w:p>
    <w:p>
      <w:pPr>
        <w:pStyle w:val="31"/>
        <w:bidi w:val="0"/>
        <w:rPr>
          <w:rFonts w:hint="eastAsia"/>
          <w:color w:val="auto"/>
          <w:highlight w:val="none"/>
          <w:lang w:val="zh-CN"/>
        </w:rPr>
      </w:pPr>
      <w:r>
        <w:rPr>
          <w:rFonts w:hint="eastAsia"/>
          <w:color w:val="auto"/>
          <w:highlight w:val="none"/>
          <w:lang w:val="zh-CN" w:eastAsia="zh-CN"/>
        </w:rPr>
        <w:t>服务能力、服务</w:t>
      </w:r>
      <w:r>
        <w:rPr>
          <w:rFonts w:hint="eastAsia"/>
          <w:color w:val="auto"/>
          <w:highlight w:val="none"/>
          <w:lang w:val="zh-CN"/>
        </w:rPr>
        <w:t>方案；</w:t>
      </w:r>
    </w:p>
    <w:p>
      <w:pPr>
        <w:pStyle w:val="31"/>
        <w:bidi w:val="0"/>
        <w:rPr>
          <w:rFonts w:hint="eastAsia"/>
          <w:color w:val="auto"/>
          <w:highlight w:val="none"/>
          <w:lang w:val="zh-CN"/>
        </w:rPr>
      </w:pPr>
      <w:r>
        <w:rPr>
          <w:rFonts w:hint="eastAsia"/>
          <w:color w:val="auto"/>
          <w:highlight w:val="none"/>
          <w:lang w:val="zh-CN"/>
        </w:rPr>
        <w:t>拟投本项目的管理、技术及服务人员；</w:t>
      </w:r>
    </w:p>
    <w:p>
      <w:pPr>
        <w:pStyle w:val="31"/>
        <w:bidi w:val="0"/>
        <w:rPr>
          <w:rFonts w:hint="eastAsia"/>
          <w:color w:val="auto"/>
          <w:highlight w:val="none"/>
          <w:lang w:val="zh-CN"/>
        </w:rPr>
      </w:pPr>
      <w:r>
        <w:rPr>
          <w:rFonts w:hint="eastAsia"/>
          <w:color w:val="auto"/>
          <w:highlight w:val="none"/>
          <w:lang w:val="zh-CN"/>
        </w:rPr>
        <w:t>服务应答表；</w:t>
      </w:r>
    </w:p>
    <w:p>
      <w:pPr>
        <w:pStyle w:val="31"/>
        <w:bidi w:val="0"/>
        <w:rPr>
          <w:rFonts w:hint="eastAsia"/>
          <w:color w:val="auto"/>
          <w:highlight w:val="none"/>
        </w:rPr>
      </w:pPr>
      <w:r>
        <w:rPr>
          <w:rFonts w:hint="eastAsia"/>
          <w:color w:val="auto"/>
          <w:highlight w:val="none"/>
          <w:lang w:val="zh-CN"/>
        </w:rPr>
        <w:t>投标人认为需要提供的文件和资料</w:t>
      </w:r>
      <w:r>
        <w:rPr>
          <w:rFonts w:hint="eastAsia"/>
          <w:color w:val="auto"/>
          <w:highlight w:val="none"/>
        </w:rPr>
        <w:t>。</w:t>
      </w:r>
    </w:p>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商务部分</w:t>
      </w:r>
    </w:p>
    <w:p>
      <w:pPr>
        <w:pStyle w:val="29"/>
        <w:bidi w:val="0"/>
        <w:rPr>
          <w:rFonts w:hint="eastAsia"/>
          <w:color w:val="auto"/>
          <w:highlight w:val="none"/>
        </w:rPr>
      </w:pPr>
      <w:r>
        <w:rPr>
          <w:rFonts w:hint="eastAsia"/>
          <w:color w:val="auto"/>
          <w:highlight w:val="none"/>
        </w:rPr>
        <w:t>投标人按照招标文件要求提供的有关证明材料；至少应包括但不限于以下内容：</w:t>
      </w:r>
    </w:p>
    <w:p>
      <w:pPr>
        <w:pStyle w:val="31"/>
        <w:bidi w:val="0"/>
        <w:rPr>
          <w:rFonts w:hint="eastAsia"/>
          <w:color w:val="auto"/>
          <w:highlight w:val="none"/>
        </w:rPr>
      </w:pPr>
      <w:bookmarkStart w:id="379" w:name="_Toc148505258"/>
      <w:bookmarkStart w:id="380" w:name="_Toc310410799"/>
      <w:bookmarkStart w:id="381" w:name="_Toc177972975"/>
      <w:bookmarkStart w:id="382" w:name="_Toc338418069"/>
      <w:bookmarkStart w:id="383" w:name="_Toc177972289"/>
      <w:bookmarkStart w:id="384" w:name="_Toc310412059"/>
      <w:bookmarkStart w:id="385" w:name="_Toc310411990"/>
      <w:r>
        <w:rPr>
          <w:rFonts w:hint="eastAsia"/>
          <w:color w:val="auto"/>
          <w:highlight w:val="none"/>
        </w:rPr>
        <w:t>投标函；</w:t>
      </w:r>
    </w:p>
    <w:p>
      <w:pPr>
        <w:pStyle w:val="31"/>
        <w:bidi w:val="0"/>
        <w:rPr>
          <w:rFonts w:hint="eastAsia"/>
          <w:color w:val="auto"/>
          <w:highlight w:val="none"/>
        </w:rPr>
      </w:pPr>
      <w:r>
        <w:rPr>
          <w:rFonts w:hint="eastAsia"/>
          <w:color w:val="auto"/>
          <w:highlight w:val="none"/>
          <w:lang w:val="en-US" w:eastAsia="zh-CN"/>
        </w:rPr>
        <w:t>实质性要求承诺；</w:t>
      </w:r>
    </w:p>
    <w:p>
      <w:pPr>
        <w:pStyle w:val="31"/>
        <w:bidi w:val="0"/>
        <w:rPr>
          <w:rFonts w:hint="eastAsia"/>
          <w:color w:val="auto"/>
          <w:highlight w:val="none"/>
          <w:lang w:val="en-US" w:eastAsia="zh-CN"/>
        </w:rPr>
      </w:pPr>
      <w:r>
        <w:rPr>
          <w:rFonts w:hint="eastAsia"/>
          <w:color w:val="auto"/>
          <w:highlight w:val="none"/>
          <w:lang w:val="en-US" w:eastAsia="zh-CN"/>
        </w:rPr>
        <w:t>投标人基本情况表；</w:t>
      </w:r>
    </w:p>
    <w:p>
      <w:pPr>
        <w:pStyle w:val="31"/>
        <w:bidi w:val="0"/>
        <w:rPr>
          <w:rFonts w:hint="eastAsia"/>
          <w:color w:val="auto"/>
          <w:highlight w:val="none"/>
          <w:lang w:val="en-US" w:eastAsia="zh-CN"/>
        </w:rPr>
      </w:pPr>
      <w:r>
        <w:rPr>
          <w:rFonts w:hint="eastAsia"/>
          <w:color w:val="auto"/>
          <w:highlight w:val="none"/>
          <w:lang w:val="en-US" w:eastAsia="zh-CN"/>
        </w:rPr>
        <w:t>商务应答表；</w:t>
      </w:r>
    </w:p>
    <w:p>
      <w:pPr>
        <w:pStyle w:val="31"/>
        <w:bidi w:val="0"/>
        <w:rPr>
          <w:rFonts w:hint="eastAsia"/>
          <w:color w:val="auto"/>
          <w:highlight w:val="none"/>
          <w:lang w:val="en-US" w:eastAsia="zh-CN"/>
        </w:rPr>
      </w:pPr>
      <w:r>
        <w:rPr>
          <w:rFonts w:hint="eastAsia"/>
          <w:color w:val="auto"/>
          <w:highlight w:val="none"/>
          <w:lang w:val="en-US" w:eastAsia="zh-CN"/>
        </w:rPr>
        <w:t>招标代理服务费承诺函；</w:t>
      </w:r>
    </w:p>
    <w:p>
      <w:pPr>
        <w:pStyle w:val="31"/>
        <w:bidi w:val="0"/>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1"/>
        <w:bidi w:val="0"/>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9"/>
    <w:bookmarkEnd w:id="380"/>
    <w:bookmarkEnd w:id="381"/>
    <w:bookmarkEnd w:id="382"/>
    <w:bookmarkEnd w:id="383"/>
    <w:bookmarkEnd w:id="384"/>
    <w:bookmarkEnd w:id="385"/>
    <w:p>
      <w:pPr>
        <w:pStyle w:val="30"/>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29"/>
        <w:bidi w:val="0"/>
        <w:rPr>
          <w:rFonts w:hint="eastAsia"/>
          <w:color w:val="auto"/>
          <w:highlight w:val="none"/>
        </w:rPr>
      </w:pPr>
      <w:r>
        <w:rPr>
          <w:rFonts w:hint="eastAsia"/>
          <w:color w:val="auto"/>
          <w:highlight w:val="none"/>
        </w:rPr>
        <w:t>投标人按照招标文件要求作出的其他应答和承诺。</w:t>
      </w:r>
    </w:p>
    <w:p>
      <w:pPr>
        <w:pStyle w:val="49"/>
        <w:bidi w:val="0"/>
        <w:rPr>
          <w:rFonts w:hint="eastAsia"/>
          <w:color w:val="auto"/>
          <w:highlight w:val="none"/>
        </w:rPr>
      </w:pPr>
      <w:r>
        <w:rPr>
          <w:rFonts w:hint="eastAsia"/>
          <w:color w:val="auto"/>
          <w:highlight w:val="none"/>
        </w:rPr>
        <w:t>注：以上</w:t>
      </w:r>
      <w:r>
        <w:rPr>
          <w:rFonts w:hint="eastAsia"/>
          <w:color w:val="auto"/>
          <w:highlight w:val="none"/>
          <w:lang w:val="en-US" w:eastAsia="zh-CN"/>
        </w:rPr>
        <w:t>第一部分</w:t>
      </w:r>
      <w:r>
        <w:rPr>
          <w:rFonts w:hint="eastAsia"/>
          <w:color w:val="auto"/>
          <w:highlight w:val="none"/>
          <w:lang w:eastAsia="zh-CN"/>
        </w:rPr>
        <w:t>、</w:t>
      </w:r>
      <w:r>
        <w:rPr>
          <w:rFonts w:hint="eastAsia"/>
          <w:color w:val="auto"/>
          <w:highlight w:val="none"/>
          <w:lang w:val="en-US" w:eastAsia="zh-CN"/>
        </w:rPr>
        <w:t>第二部分</w:t>
      </w:r>
      <w:r>
        <w:rPr>
          <w:rFonts w:hint="eastAsia"/>
          <w:color w:val="auto"/>
          <w:highlight w:val="none"/>
        </w:rPr>
        <w:t>要求提供的证明材料均需加盖投标人公章，若未加盖投标人公章的，则该证明材料涉及的评分项不予评分，涉及资格条件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29"/>
        <w:bidi w:val="0"/>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若综合评分明细表和技术参数中需要提供的证明材料上述未提及，投标人根据综合评分明细表和技术参数提供相关的证明材料。</w:t>
      </w:r>
    </w:p>
    <w:p>
      <w:pPr>
        <w:pStyle w:val="27"/>
        <w:bidi w:val="0"/>
        <w:rPr>
          <w:rFonts w:hint="eastAsia"/>
          <w:color w:val="auto"/>
          <w:highlight w:val="none"/>
        </w:rPr>
      </w:pPr>
      <w:bookmarkStart w:id="386" w:name="_Toc308084590"/>
      <w:bookmarkStart w:id="387" w:name="_Toc7840"/>
      <w:bookmarkStart w:id="388" w:name="_Toc319440135"/>
      <w:bookmarkStart w:id="389" w:name="_Toc309897508"/>
      <w:bookmarkStart w:id="390" w:name="_Toc32288"/>
      <w:bookmarkStart w:id="391" w:name="_Toc327196279"/>
      <w:bookmarkStart w:id="392" w:name="_Toc23655"/>
      <w:bookmarkStart w:id="393" w:name="_Toc308188145"/>
      <w:bookmarkStart w:id="394" w:name="_Toc6789"/>
      <w:bookmarkStart w:id="395" w:name="_Toc4288"/>
      <w:bookmarkStart w:id="396" w:name="_Toc32103"/>
      <w:bookmarkStart w:id="397" w:name="_Toc15763"/>
      <w:bookmarkStart w:id="398" w:name="_Toc26967"/>
      <w:bookmarkStart w:id="399" w:name="_Toc319439893"/>
      <w:bookmarkStart w:id="400" w:name="_Toc31136"/>
      <w:bookmarkStart w:id="401" w:name="_Toc1874"/>
      <w:bookmarkStart w:id="402" w:name="_Toc307564845"/>
      <w:bookmarkStart w:id="403" w:name="_Toc31194"/>
      <w:bookmarkStart w:id="404" w:name="_Toc3096"/>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28"/>
        <w:bidi w:val="0"/>
        <w:rPr>
          <w:rFonts w:hint="eastAsia"/>
          <w:color w:val="auto"/>
          <w:highlight w:val="none"/>
        </w:rPr>
      </w:pPr>
      <w:r>
        <w:rPr>
          <w:rFonts w:hint="eastAsia"/>
          <w:color w:val="auto"/>
          <w:highlight w:val="none"/>
        </w:rPr>
        <w:t>投标人应按照招标文件第三章中提供的“投标文件格式”填写相关内容。</w:t>
      </w:r>
    </w:p>
    <w:p>
      <w:pPr>
        <w:pStyle w:val="28"/>
        <w:bidi w:val="0"/>
        <w:rPr>
          <w:rFonts w:hint="eastAsia"/>
          <w:color w:val="auto"/>
          <w:highlight w:val="none"/>
        </w:rPr>
      </w:pPr>
      <w:r>
        <w:rPr>
          <w:rFonts w:hint="eastAsia"/>
          <w:color w:val="auto"/>
          <w:highlight w:val="none"/>
        </w:rPr>
        <w:t>对于没有格式要求的由投标人自行编写。</w:t>
      </w:r>
    </w:p>
    <w:p>
      <w:pPr>
        <w:pStyle w:val="27"/>
        <w:bidi w:val="0"/>
        <w:rPr>
          <w:rFonts w:hint="eastAsia"/>
          <w:color w:val="auto"/>
          <w:highlight w:val="none"/>
        </w:rPr>
      </w:pPr>
      <w:bookmarkStart w:id="405" w:name="_Toc327196280"/>
      <w:bookmarkStart w:id="406" w:name="_Toc29891"/>
      <w:bookmarkStart w:id="407" w:name="_Toc183682360"/>
      <w:bookmarkStart w:id="408" w:name="_Toc319440136"/>
      <w:bookmarkStart w:id="409" w:name="_Toc307564846"/>
      <w:bookmarkStart w:id="410" w:name="_Toc21967"/>
      <w:bookmarkStart w:id="411" w:name="_Toc319439894"/>
      <w:bookmarkStart w:id="412" w:name="_Toc20298"/>
      <w:bookmarkStart w:id="413" w:name="_Toc21884"/>
      <w:bookmarkStart w:id="414" w:name="_Toc309897509"/>
      <w:bookmarkStart w:id="415" w:name="_Toc217446050"/>
      <w:bookmarkStart w:id="416" w:name="_Toc307501103"/>
      <w:bookmarkStart w:id="417" w:name="_Toc27418"/>
      <w:bookmarkStart w:id="418" w:name="_Toc308084591"/>
      <w:bookmarkStart w:id="419" w:name="_Toc2456"/>
      <w:bookmarkStart w:id="420" w:name="_Toc308188146"/>
      <w:bookmarkStart w:id="421" w:name="_Toc183582223"/>
      <w:bookmarkStart w:id="422" w:name="_Toc4102"/>
      <w:bookmarkStart w:id="423" w:name="_Toc16016"/>
      <w:bookmarkStart w:id="424" w:name="_Toc14436"/>
      <w:bookmarkStart w:id="425" w:name="_Toc31944"/>
      <w:bookmarkStart w:id="426" w:name="_Toc20642"/>
      <w:bookmarkStart w:id="427" w:name="_Toc14382"/>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28"/>
        <w:numPr>
          <w:ilvl w:val="3"/>
          <w:numId w:val="0"/>
        </w:numPr>
        <w:bidi w:val="0"/>
        <w:ind w:leftChars="200"/>
        <w:rPr>
          <w:rFonts w:hint="eastAsia"/>
          <w:color w:val="auto"/>
          <w:highlight w:val="none"/>
        </w:rPr>
      </w:pPr>
      <w:bookmarkStart w:id="428" w:name="_Toc183582224"/>
      <w:bookmarkStart w:id="429" w:name="_Toc308084592"/>
      <w:bookmarkStart w:id="430" w:name="_Toc17857"/>
      <w:bookmarkStart w:id="431" w:name="_Toc27589"/>
      <w:bookmarkStart w:id="432" w:name="_Toc309897510"/>
      <w:bookmarkStart w:id="433" w:name="_Toc307501104"/>
      <w:bookmarkStart w:id="434" w:name="_Toc319439895"/>
      <w:bookmarkStart w:id="435" w:name="_Toc26011"/>
      <w:bookmarkStart w:id="436" w:name="_Toc327196281"/>
      <w:bookmarkStart w:id="437" w:name="_Toc21338"/>
      <w:bookmarkStart w:id="438" w:name="_Toc308188147"/>
      <w:bookmarkStart w:id="439" w:name="_Toc217446051"/>
      <w:bookmarkStart w:id="440" w:name="_Toc9356"/>
      <w:bookmarkStart w:id="441" w:name="_Toc307564847"/>
      <w:bookmarkStart w:id="442" w:name="_Toc31284"/>
      <w:bookmarkStart w:id="443" w:name="_Toc29434"/>
      <w:bookmarkStart w:id="444" w:name="_Toc319440137"/>
      <w:bookmarkStart w:id="445" w:name="_Toc183682361"/>
      <w:bookmarkStart w:id="446" w:name="_Toc13956"/>
      <w:r>
        <w:rPr>
          <w:rFonts w:hint="eastAsia"/>
          <w:color w:val="auto"/>
          <w:highlight w:val="none"/>
          <w:lang w:val="en-US" w:eastAsia="zh-CN"/>
        </w:rPr>
        <w:t>本项目不收取投标保证金</w:t>
      </w:r>
      <w:r>
        <w:rPr>
          <w:rFonts w:hint="eastAsia"/>
          <w:color w:val="auto"/>
          <w:highlight w:val="none"/>
        </w:rPr>
        <w:t>。</w:t>
      </w:r>
    </w:p>
    <w:p>
      <w:pPr>
        <w:pStyle w:val="27"/>
        <w:bidi w:val="0"/>
        <w:rPr>
          <w:rFonts w:hint="eastAsia"/>
          <w:color w:val="auto"/>
          <w:highlight w:val="none"/>
        </w:rPr>
      </w:pPr>
      <w:bookmarkStart w:id="447" w:name="_Toc20243"/>
      <w:bookmarkStart w:id="448" w:name="_Toc12564"/>
      <w:bookmarkStart w:id="449" w:name="_Toc30115"/>
      <w:bookmarkStart w:id="450" w:name="_Toc19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lang w:eastAsia="zh-CN"/>
        </w:rPr>
        <w:t>(</w:t>
      </w:r>
      <w:r>
        <w:rPr>
          <w:rFonts w:hint="eastAsia"/>
          <w:color w:val="auto"/>
          <w:highlight w:val="none"/>
        </w:rPr>
        <w:t>实质性要求</w:t>
      </w:r>
      <w:bookmarkEnd w:id="447"/>
      <w:r>
        <w:rPr>
          <w:rFonts w:hint="eastAsia"/>
          <w:color w:val="auto"/>
          <w:highlight w:val="none"/>
          <w:lang w:eastAsia="zh-CN"/>
        </w:rPr>
        <w:t>)</w:t>
      </w:r>
      <w:bookmarkEnd w:id="448"/>
      <w:bookmarkEnd w:id="449"/>
      <w:bookmarkEnd w:id="450"/>
    </w:p>
    <w:p>
      <w:pPr>
        <w:pStyle w:val="28"/>
        <w:bidi w:val="0"/>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28"/>
        <w:bidi w:val="0"/>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8"/>
        <w:bidi w:val="0"/>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7"/>
        <w:bidi w:val="0"/>
        <w:rPr>
          <w:rFonts w:hint="eastAsia"/>
          <w:color w:val="auto"/>
          <w:highlight w:val="none"/>
        </w:rPr>
      </w:pPr>
      <w:bookmarkStart w:id="451" w:name="_Toc3717"/>
      <w:bookmarkStart w:id="452" w:name="_Toc24326"/>
      <w:bookmarkStart w:id="453" w:name="_Toc308084593"/>
      <w:bookmarkStart w:id="454" w:name="_Toc307501105"/>
      <w:bookmarkStart w:id="455" w:name="_Toc24656"/>
      <w:bookmarkStart w:id="456" w:name="_Toc25471"/>
      <w:bookmarkStart w:id="457" w:name="_Toc7213"/>
      <w:bookmarkStart w:id="458" w:name="_Toc27461"/>
      <w:bookmarkStart w:id="459" w:name="_Toc217446052"/>
      <w:bookmarkStart w:id="460" w:name="_Toc6239"/>
      <w:bookmarkStart w:id="461" w:name="_Toc27612"/>
      <w:bookmarkStart w:id="462" w:name="_Toc183682362"/>
      <w:bookmarkStart w:id="463" w:name="_Toc327196282"/>
      <w:bookmarkStart w:id="464" w:name="_Toc3077"/>
      <w:bookmarkStart w:id="465" w:name="_Toc307564848"/>
      <w:bookmarkStart w:id="466" w:name="_Toc12545"/>
      <w:bookmarkStart w:id="467" w:name="_Toc309897511"/>
      <w:bookmarkStart w:id="468" w:name="_Toc22593"/>
      <w:bookmarkStart w:id="469" w:name="_Toc319439896"/>
      <w:bookmarkStart w:id="470" w:name="_Toc319440138"/>
      <w:bookmarkStart w:id="471" w:name="_Toc26817"/>
      <w:bookmarkStart w:id="472" w:name="_Toc183582225"/>
      <w:bookmarkStart w:id="473" w:name="_Toc308188148"/>
      <w:r>
        <w:rPr>
          <w:rFonts w:hint="eastAsia"/>
          <w:color w:val="auto"/>
          <w:highlight w:val="none"/>
        </w:rPr>
        <w:t>投标文件的印制和签署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28"/>
        <w:bidi w:val="0"/>
        <w:rPr>
          <w:color w:val="auto"/>
          <w:highlight w:val="none"/>
        </w:rPr>
      </w:pPr>
      <w:bookmarkStart w:id="474" w:name="_Toc183682363"/>
      <w:bookmarkStart w:id="475" w:name="_Toc183582226"/>
      <w:bookmarkStart w:id="476" w:name="_Toc89075877"/>
      <w:bookmarkStart w:id="477" w:name="_Toc77400781"/>
      <w:bookmarkStart w:id="478" w:name="_Toc217446053"/>
      <w:bookmarkStart w:id="479" w:name="_Toc23675"/>
      <w:bookmarkStart w:id="480" w:name="_Toc327196283"/>
      <w:bookmarkStart w:id="481" w:name="_Toc308084594"/>
      <w:bookmarkStart w:id="482" w:name="_Toc23619"/>
      <w:bookmarkStart w:id="483" w:name="_Toc17010"/>
      <w:bookmarkStart w:id="484" w:name="_Toc10555"/>
      <w:bookmarkStart w:id="485" w:name="_Toc5019"/>
      <w:bookmarkStart w:id="486" w:name="_Toc309897512"/>
      <w:bookmarkStart w:id="487" w:name="_Toc6805"/>
      <w:bookmarkStart w:id="488" w:name="_Toc13153"/>
      <w:bookmarkStart w:id="489" w:name="_Toc16752"/>
      <w:bookmarkStart w:id="490" w:name="_Toc319439897"/>
      <w:bookmarkStart w:id="491" w:name="_Toc19635"/>
      <w:bookmarkStart w:id="492" w:name="_Toc307564849"/>
      <w:bookmarkStart w:id="493" w:name="_Toc319440139"/>
      <w:bookmarkStart w:id="494" w:name="_Toc307501106"/>
      <w:bookmarkStart w:id="495" w:name="_Toc308188149"/>
      <w:bookmarkStart w:id="496" w:name="_Toc27443"/>
      <w:r>
        <w:rPr>
          <w:rFonts w:hint="eastAsia"/>
          <w:color w:val="auto"/>
          <w:highlight w:val="none"/>
        </w:rPr>
        <w:t>投标文件分</w:t>
      </w:r>
      <w:r>
        <w:rPr>
          <w:rFonts w:hint="eastAsia"/>
          <w:color w:val="auto"/>
          <w:highlight w:val="none"/>
          <w:lang w:eastAsia="zh-CN"/>
        </w:rPr>
        <w:t>《</w:t>
      </w:r>
      <w:r>
        <w:rPr>
          <w:rFonts w:hint="eastAsia"/>
          <w:color w:val="auto"/>
          <w:highlight w:val="none"/>
        </w:rPr>
        <w:t>资格、资质性及其他类似效力投标文件</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其他投标文件</w:t>
      </w:r>
      <w:r>
        <w:rPr>
          <w:rFonts w:hint="eastAsia"/>
          <w:color w:val="auto"/>
          <w:highlight w:val="none"/>
          <w:lang w:eastAsia="zh-CN"/>
        </w:rPr>
        <w:t>》</w:t>
      </w:r>
      <w:r>
        <w:rPr>
          <w:rFonts w:hint="eastAsia"/>
          <w:color w:val="auto"/>
          <w:highlight w:val="none"/>
        </w:rPr>
        <w:t>两部分，分册装订</w:t>
      </w:r>
      <w:r>
        <w:rPr>
          <w:rFonts w:hint="eastAsia"/>
          <w:color w:val="auto"/>
          <w:highlight w:val="none"/>
          <w:lang w:eastAsia="zh-CN"/>
        </w:rPr>
        <w:t>，</w:t>
      </w:r>
      <w:r>
        <w:rPr>
          <w:rFonts w:hint="eastAsia"/>
          <w:color w:val="auto"/>
          <w:highlight w:val="none"/>
          <w:lang w:val="en-US" w:eastAsia="zh-CN"/>
        </w:rPr>
        <w:t>内容不得相互混装</w:t>
      </w:r>
      <w:r>
        <w:rPr>
          <w:rFonts w:hint="eastAsia"/>
          <w:color w:val="auto"/>
          <w:highlight w:val="none"/>
        </w:rPr>
        <w:t>。</w:t>
      </w:r>
    </w:p>
    <w:p>
      <w:pPr>
        <w:pStyle w:val="28"/>
        <w:bidi w:val="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28"/>
        <w:bidi w:val="0"/>
        <w:rPr>
          <w:rFonts w:hint="eastAsia"/>
          <w:color w:val="auto"/>
          <w:highlight w:val="none"/>
        </w:rPr>
      </w:pPr>
      <w:r>
        <w:rPr>
          <w:rFonts w:hint="eastAsia"/>
          <w:color w:val="auto"/>
          <w:highlight w:val="none"/>
        </w:rPr>
        <w:t>投标人递交的投标文件为一式叁份，其中正本壹份</w:t>
      </w:r>
      <w:r>
        <w:rPr>
          <w:rFonts w:hint="eastAsia"/>
          <w:color w:val="auto"/>
          <w:highlight w:val="none"/>
          <w:lang w:eastAsia="zh-CN"/>
        </w:rPr>
        <w:t>、</w:t>
      </w:r>
      <w:r>
        <w:rPr>
          <w:rFonts w:hint="eastAsia"/>
          <w:color w:val="auto"/>
          <w:highlight w:val="none"/>
        </w:rPr>
        <w:t>副本贰份</w:t>
      </w:r>
      <w:r>
        <w:rPr>
          <w:rFonts w:hint="eastAsia"/>
          <w:color w:val="auto"/>
          <w:highlight w:val="none"/>
          <w:lang w:eastAsia="zh-CN"/>
        </w:rPr>
        <w:t>，</w:t>
      </w:r>
      <w:r>
        <w:rPr>
          <w:rFonts w:hint="eastAsia"/>
          <w:color w:val="auto"/>
          <w:highlight w:val="none"/>
        </w:rPr>
        <w:t>单独提交用于开标唱标的“开标一览表”</w:t>
      </w:r>
      <w:r>
        <w:rPr>
          <w:rFonts w:hint="eastAsia"/>
          <w:color w:val="auto"/>
          <w:highlight w:val="none"/>
          <w:lang w:val="en-US" w:eastAsia="zh-CN"/>
        </w:rPr>
        <w:t>壹</w:t>
      </w:r>
      <w:r>
        <w:rPr>
          <w:rFonts w:hint="eastAsia"/>
          <w:color w:val="auto"/>
          <w:highlight w:val="none"/>
        </w:rPr>
        <w:t>份原件。</w:t>
      </w:r>
    </w:p>
    <w:p>
      <w:pPr>
        <w:pStyle w:val="28"/>
        <w:bidi w:val="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28"/>
        <w:bidi w:val="0"/>
        <w:rPr>
          <w:color w:val="auto"/>
          <w:highlight w:val="none"/>
        </w:rPr>
      </w:pPr>
      <w:r>
        <w:rPr>
          <w:rFonts w:hint="eastAsia"/>
          <w:color w:val="auto"/>
          <w:highlight w:val="none"/>
        </w:rPr>
        <w:t>“开标一览表”除单独密封提交外，还应编制于其他投标文件正副本内。</w:t>
      </w:r>
    </w:p>
    <w:p>
      <w:pPr>
        <w:pStyle w:val="28"/>
        <w:bidi w:val="0"/>
        <w:rPr>
          <w:color w:val="auto"/>
          <w:highlight w:val="none"/>
        </w:rPr>
      </w:pPr>
      <w:r>
        <w:rPr>
          <w:rFonts w:hint="eastAsia"/>
          <w:color w:val="auto"/>
          <w:highlight w:val="none"/>
        </w:rPr>
        <w:t>投标文件正本和副本统一用A4幅面纸印制(图、表及证件可以除外)，逐页编码，可双面打印。</w:t>
      </w:r>
    </w:p>
    <w:p>
      <w:pPr>
        <w:pStyle w:val="28"/>
        <w:bidi w:val="0"/>
        <w:rPr>
          <w:color w:val="auto"/>
          <w:highlight w:val="none"/>
        </w:rPr>
      </w:pPr>
      <w:r>
        <w:rPr>
          <w:rFonts w:hint="eastAsia"/>
          <w:color w:val="auto"/>
          <w:highlight w:val="none"/>
        </w:rPr>
        <w:t>投标文件的正本和副本应采用左侧胶装，不得散装或者活页装订</w:t>
      </w:r>
      <w:r>
        <w:rPr>
          <w:rFonts w:hint="eastAsia"/>
          <w:color w:val="auto"/>
          <w:highlight w:val="none"/>
          <w:lang w:eastAsia="zh-CN"/>
        </w:rPr>
        <w:t>。</w:t>
      </w:r>
    </w:p>
    <w:p>
      <w:pPr>
        <w:pStyle w:val="28"/>
        <w:bidi w:val="0"/>
        <w:rPr>
          <w:color w:val="auto"/>
          <w:highlight w:val="none"/>
        </w:rPr>
      </w:pPr>
      <w:r>
        <w:rPr>
          <w:rFonts w:hint="eastAsia"/>
          <w:color w:val="auto"/>
          <w:highlight w:val="none"/>
        </w:rPr>
        <w:t>若投标文件内容较多，可分册装订，并在封面标明次序及册数。</w:t>
      </w:r>
    </w:p>
    <w:p>
      <w:pPr>
        <w:pStyle w:val="28"/>
        <w:bidi w:val="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28"/>
        <w:bidi w:val="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28"/>
        <w:bidi w:val="0"/>
        <w:rPr>
          <w:color w:val="auto"/>
          <w:highlight w:val="none"/>
        </w:rPr>
      </w:pPr>
      <w:r>
        <w:rPr>
          <w:rFonts w:hint="eastAsia"/>
          <w:color w:val="auto"/>
          <w:highlight w:val="none"/>
        </w:rPr>
        <w:t>投标文件应根据上述要求制作，签署、盖章，内容应完整。</w:t>
      </w:r>
    </w:p>
    <w:p>
      <w:pPr>
        <w:pStyle w:val="28"/>
        <w:bidi w:val="0"/>
        <w:rPr>
          <w:color w:val="auto"/>
          <w:highlight w:val="none"/>
        </w:rPr>
      </w:pPr>
      <w:r>
        <w:rPr>
          <w:rFonts w:hint="eastAsia"/>
          <w:color w:val="auto"/>
          <w:highlight w:val="none"/>
        </w:rPr>
        <w:t>本招标文件要求的复印件是指对图文进行复制后的文件，包括扫描、复印、影印等方式复制的材料。</w:t>
      </w:r>
    </w:p>
    <w:p>
      <w:pPr>
        <w:pStyle w:val="27"/>
        <w:bidi w:val="0"/>
        <w:rPr>
          <w:rFonts w:hint="eastAsia"/>
          <w:color w:val="auto"/>
          <w:highlight w:val="none"/>
        </w:rPr>
      </w:pPr>
      <w:bookmarkStart w:id="497" w:name="_Toc17709"/>
      <w:bookmarkStart w:id="498" w:name="_Toc19839"/>
      <w:r>
        <w:rPr>
          <w:rFonts w:hint="eastAsia"/>
          <w:color w:val="auto"/>
          <w:highlight w:val="none"/>
        </w:rPr>
        <w:t>投标文件的密封和标</w:t>
      </w:r>
      <w:bookmarkEnd w:id="474"/>
      <w:bookmarkEnd w:id="475"/>
      <w:bookmarkEnd w:id="476"/>
      <w:bookmarkEnd w:id="477"/>
      <w:r>
        <w:rPr>
          <w:rFonts w:hint="eastAsia"/>
          <w:color w:val="auto"/>
          <w:highlight w:val="none"/>
        </w:rPr>
        <w:t>注</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28"/>
        <w:bidi w:val="0"/>
        <w:rPr>
          <w:rFonts w:hint="eastAsia"/>
          <w:color w:val="auto"/>
          <w:highlight w:val="none"/>
        </w:rPr>
      </w:pPr>
      <w:bookmarkStart w:id="499" w:name="_Toc183582227"/>
      <w:bookmarkStart w:id="500" w:name="_Toc183682364"/>
      <w:bookmarkStart w:id="501" w:name="_Toc54"/>
      <w:bookmarkStart w:id="502" w:name="_Toc307564850"/>
      <w:bookmarkStart w:id="503" w:name="_Toc327196284"/>
      <w:bookmarkStart w:id="504" w:name="_Toc217446054"/>
      <w:bookmarkStart w:id="505" w:name="_Toc20273"/>
      <w:bookmarkStart w:id="506" w:name="_Toc308188150"/>
      <w:bookmarkStart w:id="507" w:name="_Toc5768"/>
      <w:bookmarkStart w:id="508" w:name="_Toc308084595"/>
      <w:bookmarkStart w:id="509" w:name="_Toc319440140"/>
      <w:bookmarkStart w:id="510" w:name="_Toc2092"/>
      <w:bookmarkStart w:id="511" w:name="_Toc319439898"/>
      <w:bookmarkStart w:id="512" w:name="_Toc307501107"/>
      <w:bookmarkStart w:id="513" w:name="_Toc309897513"/>
      <w:bookmarkStart w:id="514" w:name="_Toc7231"/>
      <w:bookmarkStart w:id="515" w:name="_Toc25113"/>
      <w:r>
        <w:rPr>
          <w:rFonts w:hint="eastAsia"/>
          <w:color w:val="auto"/>
          <w:highlight w:val="none"/>
        </w:rPr>
        <w:t>投标人应在投标文件正本和所有副本的封面上注明投标人名称、项目编号、项目名称</w:t>
      </w:r>
      <w:r>
        <w:rPr>
          <w:rFonts w:hint="eastAsia"/>
          <w:color w:val="auto"/>
          <w:highlight w:val="none"/>
          <w:lang w:eastAsia="zh-CN"/>
        </w:rPr>
        <w:t>、</w:t>
      </w:r>
      <w:r>
        <w:rPr>
          <w:rFonts w:hint="eastAsia"/>
          <w:color w:val="auto"/>
          <w:highlight w:val="none"/>
        </w:rPr>
        <w:t>投标日期。</w:t>
      </w:r>
    </w:p>
    <w:p>
      <w:pPr>
        <w:pStyle w:val="28"/>
        <w:bidi w:val="0"/>
        <w:rPr>
          <w:rFonts w:hint="eastAsia"/>
          <w:color w:val="auto"/>
          <w:highlight w:val="none"/>
        </w:rPr>
      </w:pP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用于开标唱标单独提交的开标一览表，应分别封装于不同的密封袋内，密封袋的封口处应粘贴牢固</w:t>
      </w:r>
      <w:r>
        <w:rPr>
          <w:rFonts w:hint="eastAsia"/>
          <w:color w:val="auto"/>
          <w:highlight w:val="none"/>
          <w:lang w:eastAsia="zh-CN"/>
        </w:rPr>
        <w:t>，</w:t>
      </w:r>
      <w:r>
        <w:rPr>
          <w:rFonts w:hint="eastAsia"/>
          <w:color w:val="auto"/>
          <w:highlight w:val="none"/>
        </w:rPr>
        <w:t>密封袋上应分别标上“</w:t>
      </w: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其他投标文件</w:t>
      </w:r>
      <w:r>
        <w:rPr>
          <w:rFonts w:hint="eastAsia"/>
          <w:color w:val="auto"/>
          <w:highlight w:val="none"/>
        </w:rPr>
        <w:t>”、“开标一览表”字样，并注明投标人名称、项目名称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并</w:t>
      </w:r>
      <w:r>
        <w:rPr>
          <w:rFonts w:hint="eastAsia"/>
          <w:color w:val="auto"/>
          <w:highlight w:val="none"/>
          <w:lang w:eastAsia="zh-CN"/>
        </w:rPr>
        <w:t>在封口处</w:t>
      </w:r>
      <w:r>
        <w:rPr>
          <w:rFonts w:hint="eastAsia"/>
          <w:color w:val="auto"/>
          <w:highlight w:val="none"/>
        </w:rPr>
        <w:t>加盖投标人公章。</w:t>
      </w:r>
    </w:p>
    <w:p>
      <w:pPr>
        <w:pStyle w:val="28"/>
        <w:bidi w:val="0"/>
        <w:rPr>
          <w:rFonts w:hint="eastAsia"/>
          <w:color w:val="auto"/>
          <w:highlight w:val="none"/>
        </w:rPr>
      </w:pPr>
      <w:r>
        <w:rPr>
          <w:rFonts w:hint="eastAsia"/>
          <w:color w:val="auto"/>
          <w:highlight w:val="none"/>
        </w:rPr>
        <w:t>未按照招标文件要求密封的投标文件，</w:t>
      </w:r>
      <w:r>
        <w:rPr>
          <w:rFonts w:hint="eastAsia"/>
          <w:color w:val="auto"/>
          <w:highlight w:val="none"/>
          <w:lang w:val="en-US" w:eastAsia="zh-CN"/>
        </w:rPr>
        <w:t>将被</w:t>
      </w:r>
      <w:r>
        <w:rPr>
          <w:rFonts w:hint="eastAsia"/>
          <w:color w:val="auto"/>
          <w:highlight w:val="none"/>
        </w:rPr>
        <w:t>采购代理机构拒收。</w:t>
      </w:r>
    </w:p>
    <w:p>
      <w:pPr>
        <w:pStyle w:val="27"/>
        <w:bidi w:val="0"/>
        <w:rPr>
          <w:rFonts w:hint="eastAsia"/>
          <w:color w:val="auto"/>
          <w:highlight w:val="none"/>
        </w:rPr>
      </w:pPr>
      <w:bookmarkStart w:id="516" w:name="_Toc17655"/>
      <w:bookmarkStart w:id="517" w:name="_Toc9965"/>
      <w:bookmarkStart w:id="518" w:name="_Toc19406"/>
      <w:bookmarkStart w:id="519" w:name="_Toc25947"/>
      <w:bookmarkStart w:id="520" w:name="_Toc27234"/>
      <w:bookmarkStart w:id="521" w:name="_Toc30361"/>
      <w:r>
        <w:rPr>
          <w:rFonts w:hint="eastAsia"/>
          <w:color w:val="auto"/>
          <w:highlight w:val="none"/>
        </w:rPr>
        <w:t>投标文件的</w:t>
      </w:r>
      <w:bookmarkEnd w:id="499"/>
      <w:bookmarkEnd w:id="500"/>
      <w:r>
        <w:rPr>
          <w:rFonts w:hint="eastAsia"/>
          <w:color w:val="auto"/>
          <w:highlight w:val="none"/>
        </w:rPr>
        <w:t>递交</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28"/>
        <w:bidi w:val="0"/>
        <w:rPr>
          <w:rFonts w:hint="eastAsia"/>
          <w:color w:val="auto"/>
          <w:highlight w:val="none"/>
        </w:rPr>
      </w:pPr>
      <w:r>
        <w:rPr>
          <w:rFonts w:hint="eastAsia"/>
          <w:color w:val="auto"/>
          <w:highlight w:val="none"/>
        </w:rPr>
        <w:t>投标人应在招标文件规定的投标截止时间前，将投标文件按招标文件规定密封后送达开标地点。</w:t>
      </w:r>
    </w:p>
    <w:p>
      <w:pPr>
        <w:pStyle w:val="28"/>
        <w:bidi w:val="0"/>
        <w:rPr>
          <w:rFonts w:hint="eastAsia"/>
          <w:color w:val="auto"/>
          <w:highlight w:val="none"/>
        </w:rPr>
      </w:pPr>
      <w:r>
        <w:rPr>
          <w:rFonts w:hint="eastAsia"/>
          <w:color w:val="auto"/>
          <w:highlight w:val="none"/>
        </w:rPr>
        <w:t>逾期送达或者未按照招标文件要求密封的投标文件，</w:t>
      </w:r>
      <w:r>
        <w:rPr>
          <w:rFonts w:hint="eastAsia"/>
          <w:color w:val="auto"/>
          <w:highlight w:val="none"/>
          <w:lang w:val="en-US" w:eastAsia="zh-CN"/>
        </w:rPr>
        <w:t>将被</w:t>
      </w:r>
      <w:r>
        <w:rPr>
          <w:rFonts w:hint="eastAsia"/>
          <w:color w:val="auto"/>
          <w:highlight w:val="none"/>
        </w:rPr>
        <w:t>采购代理机构拒收</w:t>
      </w:r>
      <w:r>
        <w:rPr>
          <w:rFonts w:hint="eastAsia"/>
          <w:color w:val="auto"/>
          <w:highlight w:val="none"/>
          <w:lang w:eastAsia="zh-CN"/>
        </w:rPr>
        <w:t>，</w:t>
      </w:r>
      <w:r>
        <w:rPr>
          <w:rFonts w:hint="eastAsia"/>
          <w:color w:val="auto"/>
          <w:highlight w:val="none"/>
          <w:lang w:val="en-US" w:eastAsia="zh-CN"/>
        </w:rPr>
        <w:t>并</w:t>
      </w:r>
      <w:r>
        <w:rPr>
          <w:rFonts w:hint="eastAsia"/>
          <w:color w:val="auto"/>
          <w:highlight w:val="none"/>
        </w:rPr>
        <w:t>告知投标人不予接收的原因。</w:t>
      </w:r>
    </w:p>
    <w:p>
      <w:pPr>
        <w:pStyle w:val="28"/>
        <w:bidi w:val="0"/>
        <w:rPr>
          <w:rFonts w:hint="eastAsia"/>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28"/>
        <w:bidi w:val="0"/>
        <w:rPr>
          <w:rFonts w:hint="eastAsia"/>
          <w:color w:val="auto"/>
          <w:highlight w:val="none"/>
        </w:rPr>
      </w:pPr>
      <w:r>
        <w:rPr>
          <w:rFonts w:hint="eastAsia"/>
          <w:color w:val="auto"/>
          <w:highlight w:val="none"/>
        </w:rPr>
        <w:t>递交投标文件时，</w:t>
      </w:r>
      <w:r>
        <w:rPr>
          <w:rFonts w:hint="eastAsia"/>
          <w:color w:val="auto"/>
          <w:highlight w:val="none"/>
          <w:lang w:val="en-US" w:eastAsia="zh-CN"/>
        </w:rPr>
        <w:t>投标</w:t>
      </w:r>
      <w:r>
        <w:rPr>
          <w:rFonts w:hint="eastAsia"/>
          <w:color w:val="auto"/>
          <w:highlight w:val="none"/>
        </w:rPr>
        <w:t>供应商名称和</w:t>
      </w:r>
      <w:r>
        <w:rPr>
          <w:rFonts w:hint="eastAsia"/>
          <w:color w:val="auto"/>
          <w:highlight w:val="none"/>
          <w:lang w:val="en-US" w:eastAsia="zh-CN"/>
        </w:rPr>
        <w:t>投标</w:t>
      </w:r>
      <w:r>
        <w:rPr>
          <w:rFonts w:hint="eastAsia"/>
          <w:color w:val="auto"/>
          <w:highlight w:val="none"/>
        </w:rPr>
        <w:t>文件的</w:t>
      </w:r>
      <w:r>
        <w:rPr>
          <w:rFonts w:hint="eastAsia"/>
          <w:color w:val="auto"/>
          <w:highlight w:val="none"/>
          <w:lang w:val="en-US" w:eastAsia="zh-CN"/>
        </w:rPr>
        <w:t>项目编号</w:t>
      </w:r>
      <w:r>
        <w:rPr>
          <w:rFonts w:hint="eastAsia"/>
          <w:color w:val="auto"/>
          <w:highlight w:val="none"/>
        </w:rPr>
        <w:t>应当与</w:t>
      </w:r>
      <w:r>
        <w:rPr>
          <w:rFonts w:hint="eastAsia"/>
          <w:color w:val="auto"/>
          <w:highlight w:val="none"/>
          <w:lang w:val="en-US" w:eastAsia="zh-CN"/>
        </w:rPr>
        <w:t>报名</w:t>
      </w:r>
      <w:r>
        <w:rPr>
          <w:rFonts w:hint="eastAsia"/>
          <w:color w:val="auto"/>
          <w:highlight w:val="none"/>
        </w:rPr>
        <w:t>供应商名称和招标文件的</w:t>
      </w:r>
      <w:r>
        <w:rPr>
          <w:rFonts w:hint="eastAsia"/>
          <w:color w:val="auto"/>
          <w:highlight w:val="none"/>
          <w:lang w:val="en-US" w:eastAsia="zh-CN"/>
        </w:rPr>
        <w:t>项目编号</w:t>
      </w:r>
      <w:r>
        <w:rPr>
          <w:rFonts w:hint="eastAsia"/>
          <w:color w:val="auto"/>
          <w:highlight w:val="none"/>
        </w:rPr>
        <w:t>一致。但是，投标文件实质内容</w:t>
      </w:r>
      <w:r>
        <w:rPr>
          <w:rFonts w:hint="eastAsia"/>
          <w:color w:val="auto"/>
          <w:highlight w:val="none"/>
          <w:lang w:val="en-US" w:eastAsia="zh-CN"/>
        </w:rPr>
        <w:t>与</w:t>
      </w:r>
      <w:r>
        <w:rPr>
          <w:rFonts w:hint="eastAsia"/>
          <w:color w:val="auto"/>
          <w:highlight w:val="none"/>
        </w:rPr>
        <w:t>报名供应商名称和招标文件的</w:t>
      </w:r>
      <w:r>
        <w:rPr>
          <w:rFonts w:hint="eastAsia"/>
          <w:color w:val="auto"/>
          <w:highlight w:val="none"/>
          <w:lang w:val="en-US" w:eastAsia="zh-CN"/>
        </w:rPr>
        <w:t>项目编号</w:t>
      </w:r>
      <w:r>
        <w:rPr>
          <w:rFonts w:hint="eastAsia"/>
          <w:color w:val="auto"/>
          <w:highlight w:val="none"/>
        </w:rPr>
        <w:t>一致，只是封面文字错误的，可以在评标过程中当面予以澄清，以有效的澄清材料作为认定投标文件是否有效的依据。</w:t>
      </w:r>
    </w:p>
    <w:p>
      <w:pPr>
        <w:pStyle w:val="28"/>
        <w:bidi w:val="0"/>
        <w:rPr>
          <w:rFonts w:hint="eastAsia"/>
          <w:color w:val="auto"/>
          <w:highlight w:val="none"/>
        </w:rPr>
      </w:pPr>
      <w:r>
        <w:rPr>
          <w:rFonts w:hint="eastAsia"/>
          <w:color w:val="auto"/>
          <w:highlight w:val="none"/>
        </w:rPr>
        <w:t>本次招标不接收邮寄的投标文件。</w:t>
      </w:r>
    </w:p>
    <w:p>
      <w:pPr>
        <w:pStyle w:val="27"/>
        <w:bidi w:val="0"/>
        <w:rPr>
          <w:rFonts w:hint="eastAsia"/>
          <w:color w:val="auto"/>
          <w:highlight w:val="none"/>
        </w:rPr>
      </w:pPr>
      <w:bookmarkStart w:id="522" w:name="_Toc183582228"/>
      <w:bookmarkStart w:id="523" w:name="_Toc183682365"/>
      <w:bookmarkStart w:id="524" w:name="_Toc12138"/>
      <w:bookmarkStart w:id="525" w:name="_Toc307501108"/>
      <w:bookmarkStart w:id="526" w:name="_Toc308084596"/>
      <w:bookmarkStart w:id="527" w:name="_Toc22634"/>
      <w:bookmarkStart w:id="528" w:name="_Toc6140"/>
      <w:bookmarkStart w:id="529" w:name="_Toc308188151"/>
      <w:bookmarkStart w:id="530" w:name="_Toc319440141"/>
      <w:bookmarkStart w:id="531" w:name="_Toc319439899"/>
      <w:bookmarkStart w:id="532" w:name="_Toc17045"/>
      <w:bookmarkStart w:id="533" w:name="_Toc7313"/>
      <w:bookmarkStart w:id="534" w:name="_Toc15674"/>
      <w:bookmarkStart w:id="535" w:name="_Toc3865"/>
      <w:bookmarkStart w:id="536" w:name="_Toc309897514"/>
      <w:bookmarkStart w:id="537" w:name="_Toc26696"/>
      <w:bookmarkStart w:id="538" w:name="_Toc217446055"/>
      <w:bookmarkStart w:id="539" w:name="_Toc23816"/>
      <w:bookmarkStart w:id="540" w:name="_Toc4178"/>
      <w:bookmarkStart w:id="541" w:name="_Toc307564851"/>
      <w:bookmarkStart w:id="542" w:name="_Toc26118"/>
      <w:bookmarkStart w:id="543" w:name="_Toc1451"/>
      <w:bookmarkStart w:id="544" w:name="_Toc327196285"/>
      <w:r>
        <w:rPr>
          <w:rFonts w:hint="eastAsia"/>
          <w:color w:val="auto"/>
          <w:highlight w:val="none"/>
        </w:rPr>
        <w:t>投标文件的修改和撤</w:t>
      </w:r>
      <w:bookmarkEnd w:id="522"/>
      <w:bookmarkEnd w:id="523"/>
      <w:r>
        <w:rPr>
          <w:rFonts w:hint="eastAsia"/>
          <w:color w:val="auto"/>
          <w:highlight w:val="none"/>
        </w:rPr>
        <w:t>回</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pStyle w:val="28"/>
        <w:bidi w:val="0"/>
        <w:rPr>
          <w:rFonts w:hint="eastAsia"/>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28"/>
        <w:bidi w:val="0"/>
        <w:rPr>
          <w:rFonts w:hint="eastAsia"/>
          <w:color w:val="auto"/>
          <w:highlight w:val="none"/>
        </w:rPr>
      </w:pPr>
      <w:r>
        <w:rPr>
          <w:rFonts w:hint="eastAsia"/>
          <w:color w:val="auto"/>
          <w:highlight w:val="none"/>
        </w:rPr>
        <w:t>投标人的修改书或撤回通知书，应由其</w:t>
      </w:r>
      <w:r>
        <w:rPr>
          <w:rFonts w:hint="eastAsia"/>
          <w:color w:val="auto"/>
          <w:highlight w:val="none"/>
          <w:lang w:eastAsia="zh-CN"/>
        </w:rPr>
        <w:t>法定代表人/单位负责人或授权代表</w:t>
      </w:r>
      <w:r>
        <w:rPr>
          <w:rFonts w:hint="eastAsia"/>
          <w:color w:val="auto"/>
          <w:highlight w:val="none"/>
        </w:rPr>
        <w:t>签署并盖单位印章。修改书应按</w:t>
      </w:r>
      <w:r>
        <w:rPr>
          <w:rFonts w:hint="eastAsia"/>
          <w:color w:val="auto"/>
          <w:highlight w:val="none"/>
          <w:lang w:val="en-US" w:eastAsia="zh-CN"/>
        </w:rPr>
        <w:t>第二章第四节第十一</w:t>
      </w:r>
      <w:r>
        <w:rPr>
          <w:rFonts w:hint="eastAsia"/>
          <w:color w:val="auto"/>
          <w:highlight w:val="none"/>
        </w:rPr>
        <w:t>条规定进行密封和标注，并在密封袋上标注“修改”字样。</w:t>
      </w:r>
    </w:p>
    <w:p>
      <w:pPr>
        <w:pStyle w:val="28"/>
        <w:bidi w:val="0"/>
        <w:rPr>
          <w:rFonts w:hint="eastAsia"/>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46"/>
        <w:bidi w:val="0"/>
        <w:rPr>
          <w:rFonts w:hint="eastAsia"/>
          <w:color w:val="auto"/>
          <w:highlight w:val="none"/>
        </w:rPr>
      </w:pPr>
      <w:bookmarkStart w:id="545" w:name="_Toc183682368"/>
      <w:bookmarkStart w:id="546" w:name="_Toc10738"/>
      <w:bookmarkStart w:id="547" w:name="_Toc327196286"/>
      <w:bookmarkStart w:id="548" w:name="_Toc15691"/>
      <w:bookmarkStart w:id="549" w:name="_Toc183582231"/>
      <w:bookmarkStart w:id="550" w:name="_Toc16817"/>
      <w:bookmarkStart w:id="551" w:name="_Toc24962"/>
      <w:bookmarkStart w:id="552" w:name="_Toc21531"/>
      <w:bookmarkStart w:id="553" w:name="_Toc77400782"/>
      <w:bookmarkStart w:id="554" w:name="_Toc217446056"/>
      <w:bookmarkStart w:id="555" w:name="_Toc89075878"/>
      <w:r>
        <w:rPr>
          <w:rFonts w:hint="eastAsia"/>
          <w:color w:val="auto"/>
          <w:highlight w:val="none"/>
        </w:rPr>
        <w:t>开标和中标</w:t>
      </w:r>
      <w:bookmarkEnd w:id="545"/>
      <w:bookmarkEnd w:id="546"/>
      <w:bookmarkEnd w:id="547"/>
      <w:bookmarkEnd w:id="548"/>
      <w:bookmarkEnd w:id="549"/>
      <w:bookmarkEnd w:id="550"/>
      <w:bookmarkEnd w:id="551"/>
      <w:bookmarkEnd w:id="552"/>
      <w:bookmarkEnd w:id="553"/>
      <w:bookmarkEnd w:id="554"/>
      <w:bookmarkEnd w:id="555"/>
    </w:p>
    <w:p>
      <w:pPr>
        <w:pStyle w:val="27"/>
        <w:numPr>
          <w:ilvl w:val="2"/>
          <w:numId w:val="14"/>
        </w:numPr>
        <w:bidi w:val="0"/>
        <w:rPr>
          <w:rFonts w:hint="eastAsia"/>
          <w:color w:val="auto"/>
          <w:highlight w:val="none"/>
        </w:rPr>
      </w:pPr>
      <w:bookmarkStart w:id="556" w:name="_Toc319439901"/>
      <w:bookmarkStart w:id="557" w:name="_Toc8915"/>
      <w:bookmarkStart w:id="558" w:name="_Toc307501110"/>
      <w:bookmarkStart w:id="559" w:name="_Toc217446057"/>
      <w:bookmarkStart w:id="560" w:name="_Toc308188153"/>
      <w:bookmarkStart w:id="561" w:name="_Toc307564853"/>
      <w:bookmarkStart w:id="562" w:name="_Toc327196287"/>
      <w:bookmarkStart w:id="563" w:name="_Toc18049"/>
      <w:bookmarkStart w:id="564" w:name="_Toc6289"/>
      <w:bookmarkStart w:id="565" w:name="_Toc15426"/>
      <w:bookmarkStart w:id="566" w:name="_Toc26383"/>
      <w:bookmarkStart w:id="567" w:name="_Toc19952"/>
      <w:bookmarkStart w:id="568" w:name="_Toc29031"/>
      <w:bookmarkStart w:id="569" w:name="_Toc29493"/>
      <w:bookmarkStart w:id="570" w:name="_Toc13237"/>
      <w:bookmarkStart w:id="571" w:name="_Toc23998"/>
      <w:bookmarkStart w:id="572" w:name="_Toc11957"/>
      <w:bookmarkStart w:id="573" w:name="_Toc319440143"/>
      <w:bookmarkStart w:id="574" w:name="_Toc309897516"/>
      <w:bookmarkStart w:id="575" w:name="_Toc183582232"/>
      <w:bookmarkStart w:id="576" w:name="_Toc183682369"/>
      <w:bookmarkStart w:id="577" w:name="_Toc13303"/>
      <w:bookmarkStart w:id="578" w:name="_Toc308084598"/>
      <w:r>
        <w:rPr>
          <w:rFonts w:hint="eastAsia"/>
          <w:color w:val="auto"/>
          <w:highlight w:val="none"/>
        </w:rPr>
        <w:t>开标</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28"/>
        <w:numPr>
          <w:ilvl w:val="3"/>
          <w:numId w:val="15"/>
        </w:numPr>
        <w:bidi w:val="0"/>
        <w:rPr>
          <w:rFonts w:hint="eastAsia"/>
          <w:color w:val="auto"/>
          <w:highlight w:val="none"/>
        </w:rPr>
      </w:pPr>
      <w:bookmarkStart w:id="579" w:name="_Toc319440144"/>
      <w:bookmarkStart w:id="580" w:name="_Toc307501111"/>
      <w:bookmarkStart w:id="581" w:name="_Toc327196288"/>
      <w:bookmarkStart w:id="582" w:name="_Toc308188154"/>
      <w:bookmarkStart w:id="583" w:name="_Toc308084599"/>
      <w:bookmarkStart w:id="584" w:name="_Toc307564854"/>
      <w:bookmarkStart w:id="585" w:name="_Toc319439902"/>
      <w:bookmarkStart w:id="586" w:name="_Toc309897517"/>
      <w:bookmarkStart w:id="587" w:name="_Toc217446058"/>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lang w:eastAsia="zh-CN"/>
        </w:rPr>
        <w:t>开标活动对外公开，在保证正常开标秩序的前提下，允许除投标人及其代表之外的其他人员观摩开标活动。</w:t>
      </w:r>
      <w:r>
        <w:rPr>
          <w:rFonts w:hint="eastAsia"/>
          <w:color w:val="auto"/>
          <w:highlight w:val="none"/>
          <w:lang w:val="en-US" w:eastAsia="zh-CN"/>
        </w:rPr>
        <w:t>其他人员需要参加开标活动的，须事先向采购代理机构书面申请并取得同意后方能参加，且在开标现场须服从采购代理机构的安排</w:t>
      </w:r>
      <w:r>
        <w:rPr>
          <w:rFonts w:hint="eastAsia"/>
          <w:color w:val="auto"/>
          <w:highlight w:val="none"/>
          <w:lang w:eastAsia="zh-CN"/>
        </w:rPr>
        <w:t>。</w:t>
      </w:r>
    </w:p>
    <w:p>
      <w:pPr>
        <w:pStyle w:val="28"/>
        <w:numPr>
          <w:ilvl w:val="3"/>
          <w:numId w:val="15"/>
        </w:numPr>
        <w:bidi w:val="0"/>
        <w:rPr>
          <w:rFonts w:hint="eastAsia"/>
          <w:color w:val="auto"/>
          <w:highlight w:val="none"/>
        </w:rPr>
      </w:pPr>
      <w:r>
        <w:rPr>
          <w:rFonts w:hint="eastAsia"/>
          <w:color w:val="auto"/>
          <w:highlight w:val="none"/>
        </w:rPr>
        <w:t>开标时，可根据具体情况邀请有关监督管理部门对开标活动进行现场监督。</w:t>
      </w:r>
    </w:p>
    <w:p>
      <w:pPr>
        <w:pStyle w:val="28"/>
        <w:numPr>
          <w:ilvl w:val="3"/>
          <w:numId w:val="15"/>
        </w:numPr>
        <w:bidi w:val="0"/>
        <w:rPr>
          <w:rFonts w:hint="eastAsia"/>
          <w:color w:val="auto"/>
          <w:highlight w:val="none"/>
        </w:rPr>
      </w:pPr>
      <w:r>
        <w:rPr>
          <w:rFonts w:hint="eastAsia"/>
          <w:color w:val="auto"/>
          <w:highlight w:val="none"/>
        </w:rPr>
        <w:t>开标时，由投标人或者其推选的代表先检查其自己递交的投标文件的密封情况，经确认无误后，由招标工作人员将投标人单独</w:t>
      </w:r>
      <w:r>
        <w:rPr>
          <w:rFonts w:hint="eastAsia"/>
          <w:color w:val="auto"/>
          <w:highlight w:val="none"/>
          <w:lang w:eastAsia="zh-CN"/>
        </w:rPr>
        <w:t>提</w:t>
      </w:r>
      <w:r>
        <w:rPr>
          <w:rFonts w:hint="eastAsia"/>
          <w:color w:val="auto"/>
          <w:highlight w:val="none"/>
        </w:rPr>
        <w:t>交</w:t>
      </w:r>
      <w:r>
        <w:rPr>
          <w:rFonts w:hint="eastAsia"/>
          <w:color w:val="auto"/>
          <w:highlight w:val="none"/>
          <w:lang w:eastAsia="zh-CN"/>
        </w:rPr>
        <w:t>用于开标唱标</w:t>
      </w:r>
      <w:r>
        <w:rPr>
          <w:rFonts w:hint="eastAsia"/>
          <w:color w:val="auto"/>
          <w:highlight w:val="none"/>
        </w:rPr>
        <w:t>的“开标一览表”当众拆封，并由唱标人员按照招标文件规定的内容进行宣读。</w:t>
      </w:r>
    </w:p>
    <w:p>
      <w:pPr>
        <w:pStyle w:val="28"/>
        <w:numPr>
          <w:ilvl w:val="3"/>
          <w:numId w:val="15"/>
        </w:numPr>
        <w:bidi w:val="0"/>
        <w:rPr>
          <w:rFonts w:hint="eastAsia"/>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w:t>
      </w:r>
      <w:r>
        <w:rPr>
          <w:rFonts w:hint="eastAsia"/>
          <w:color w:val="auto"/>
          <w:highlight w:val="none"/>
          <w:lang w:val="en-US" w:eastAsia="zh-CN"/>
        </w:rPr>
        <w:t>至</w:t>
      </w:r>
      <w:r>
        <w:rPr>
          <w:rFonts w:hint="eastAsia"/>
          <w:color w:val="auto"/>
          <w:highlight w:val="none"/>
        </w:rPr>
        <w:t>开标主持人或者现场监督人员，要求开标现场记录人员予以记录，但不得干扰、阻挠开标工作的正常进行。</w:t>
      </w:r>
    </w:p>
    <w:p>
      <w:pPr>
        <w:pStyle w:val="28"/>
        <w:numPr>
          <w:ilvl w:val="3"/>
          <w:numId w:val="15"/>
        </w:numPr>
        <w:bidi w:val="0"/>
        <w:rPr>
          <w:rFonts w:hint="eastAsia"/>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28"/>
        <w:numPr>
          <w:ilvl w:val="3"/>
          <w:numId w:val="15"/>
        </w:numPr>
        <w:bidi w:val="0"/>
        <w:rPr>
          <w:rFonts w:hint="eastAsia"/>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28"/>
        <w:numPr>
          <w:ilvl w:val="3"/>
          <w:numId w:val="15"/>
        </w:numPr>
        <w:bidi w:val="0"/>
        <w:rPr>
          <w:rFonts w:hint="eastAsia"/>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27"/>
        <w:numPr>
          <w:ilvl w:val="2"/>
          <w:numId w:val="14"/>
        </w:numPr>
        <w:bidi w:val="0"/>
        <w:rPr>
          <w:rFonts w:hint="eastAsia"/>
          <w:color w:val="auto"/>
          <w:highlight w:val="none"/>
        </w:rPr>
      </w:pPr>
      <w:bookmarkStart w:id="588" w:name="_Toc24509"/>
      <w:bookmarkStart w:id="589" w:name="_Toc10782"/>
      <w:bookmarkStart w:id="590" w:name="_Toc17927"/>
      <w:bookmarkStart w:id="591" w:name="_Toc23192"/>
      <w:bookmarkStart w:id="592" w:name="_Toc5097"/>
      <w:bookmarkStart w:id="593" w:name="_Toc26350"/>
      <w:bookmarkStart w:id="594" w:name="_Toc827"/>
      <w:bookmarkStart w:id="595" w:name="_Toc15266"/>
      <w:bookmarkStart w:id="596" w:name="_Toc7168"/>
      <w:bookmarkStart w:id="597" w:name="_Toc12755"/>
      <w:bookmarkStart w:id="598" w:name="_Toc20885"/>
      <w:bookmarkStart w:id="599" w:name="_Toc18256"/>
      <w:r>
        <w:rPr>
          <w:rFonts w:hint="eastAsia"/>
          <w:color w:val="auto"/>
          <w:highlight w:val="none"/>
        </w:rPr>
        <w:t>开标程序</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29"/>
        <w:bidi w:val="0"/>
        <w:rPr>
          <w:rFonts w:hint="eastAsia"/>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28"/>
        <w:numPr>
          <w:ilvl w:val="3"/>
          <w:numId w:val="14"/>
        </w:numPr>
        <w:bidi w:val="0"/>
        <w:rPr>
          <w:color w:val="auto"/>
          <w:highlight w:val="none"/>
        </w:rPr>
      </w:pPr>
      <w:bookmarkStart w:id="600" w:name="_Toc13447"/>
      <w:bookmarkStart w:id="601" w:name="_Toc13983"/>
      <w:bookmarkStart w:id="602" w:name="_Toc183682375"/>
      <w:bookmarkStart w:id="603" w:name="_Toc183582238"/>
      <w:bookmarkStart w:id="604" w:name="_Toc13751"/>
      <w:bookmarkStart w:id="605" w:name="_Toc15967"/>
      <w:bookmarkStart w:id="606" w:name="_Toc16512"/>
      <w:bookmarkStart w:id="607" w:name="_Toc28123"/>
      <w:bookmarkStart w:id="608" w:name="_Toc308188155"/>
      <w:bookmarkStart w:id="609" w:name="_Toc307501112"/>
      <w:bookmarkStart w:id="610" w:name="_Toc309897518"/>
      <w:bookmarkStart w:id="611" w:name="_Toc9806"/>
      <w:bookmarkStart w:id="612" w:name="_Toc8800"/>
      <w:bookmarkStart w:id="613" w:name="_Toc28481"/>
      <w:bookmarkStart w:id="614" w:name="_Toc319440145"/>
      <w:bookmarkStart w:id="615" w:name="_Toc308084600"/>
      <w:bookmarkStart w:id="616" w:name="_Toc489"/>
      <w:bookmarkStart w:id="617" w:name="_Toc319439903"/>
      <w:bookmarkStart w:id="618" w:name="_Toc307564855"/>
      <w:bookmarkStart w:id="619" w:name="_Toc327196289"/>
      <w:bookmarkStart w:id="620" w:name="_Toc217446063"/>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28"/>
        <w:numPr>
          <w:ilvl w:val="3"/>
          <w:numId w:val="14"/>
        </w:numPr>
        <w:bidi w:val="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28"/>
        <w:numPr>
          <w:ilvl w:val="3"/>
          <w:numId w:val="14"/>
        </w:numPr>
        <w:bidi w:val="0"/>
        <w:rPr>
          <w:rFonts w:hint="eastAsia"/>
          <w:color w:val="auto"/>
          <w:highlight w:val="none"/>
          <w:lang w:val="en-US" w:eastAsia="zh-CN"/>
        </w:rPr>
      </w:pPr>
      <w:r>
        <w:rPr>
          <w:rFonts w:hint="eastAsia"/>
          <w:color w:val="auto"/>
          <w:highlight w:val="none"/>
          <w:lang w:val="en-US" w:eastAsia="zh-CN"/>
        </w:rPr>
        <w:t>投标人不足3家的，不得开标。</w:t>
      </w:r>
    </w:p>
    <w:p>
      <w:pPr>
        <w:pStyle w:val="28"/>
        <w:numPr>
          <w:ilvl w:val="3"/>
          <w:numId w:val="14"/>
        </w:numPr>
        <w:bidi w:val="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或招标文件允许提供的备选投标方案和投标文件的其他主要内容。未宣读的投标价格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28"/>
        <w:numPr>
          <w:ilvl w:val="3"/>
          <w:numId w:val="14"/>
        </w:numPr>
        <w:bidi w:val="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28"/>
        <w:numPr>
          <w:ilvl w:val="3"/>
          <w:numId w:val="14"/>
        </w:numPr>
        <w:bidi w:val="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w:t>
      </w:r>
      <w:r>
        <w:rPr>
          <w:rFonts w:hint="eastAsia"/>
          <w:color w:val="auto"/>
          <w:highlight w:val="none"/>
          <w:lang w:eastAsia="zh-CN"/>
        </w:rPr>
        <w:t>“四川政府采购网”</w:t>
      </w:r>
      <w:r>
        <w:rPr>
          <w:rFonts w:hint="eastAsia"/>
          <w:color w:val="auto"/>
          <w:highlight w:val="none"/>
        </w:rPr>
        <w:t>查询评标结果。</w:t>
      </w:r>
    </w:p>
    <w:bookmarkEnd w:id="600"/>
    <w:bookmarkEnd w:id="601"/>
    <w:p>
      <w:pPr>
        <w:pStyle w:val="27"/>
        <w:bidi w:val="0"/>
        <w:rPr>
          <w:rFonts w:hint="eastAsia"/>
          <w:color w:val="auto"/>
          <w:highlight w:val="none"/>
          <w:lang w:val="en-US" w:eastAsia="zh-CN"/>
        </w:rPr>
      </w:pPr>
      <w:bookmarkStart w:id="621" w:name="_Toc11212"/>
      <w:bookmarkStart w:id="622" w:name="_Toc128"/>
      <w:bookmarkStart w:id="623" w:name="_Toc6332"/>
      <w:r>
        <w:rPr>
          <w:rFonts w:hint="eastAsia"/>
          <w:color w:val="auto"/>
          <w:highlight w:val="none"/>
          <w:lang w:val="en-US" w:eastAsia="zh-CN"/>
        </w:rPr>
        <w:t>开评标过程存档</w:t>
      </w:r>
      <w:bookmarkEnd w:id="621"/>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开标和评标过程进行全过程电子监控，并将电子监控资料存储介质留存归档。</w:t>
      </w:r>
    </w:p>
    <w:p>
      <w:pPr>
        <w:pStyle w:val="27"/>
        <w:bidi w:val="0"/>
        <w:rPr>
          <w:rFonts w:hint="eastAsia"/>
          <w:color w:val="auto"/>
          <w:highlight w:val="none"/>
          <w:lang w:val="en-US" w:eastAsia="zh-CN"/>
        </w:rPr>
      </w:pPr>
      <w:bookmarkStart w:id="624" w:name="_Toc28531"/>
      <w:bookmarkStart w:id="625" w:name="_Toc32453"/>
      <w:r>
        <w:rPr>
          <w:rFonts w:hint="eastAsia"/>
          <w:color w:val="auto"/>
          <w:highlight w:val="none"/>
          <w:lang w:val="en-US" w:eastAsia="zh-CN"/>
        </w:rPr>
        <w:t>中标结果</w:t>
      </w:r>
      <w:bookmarkEnd w:id="624"/>
    </w:p>
    <w:p>
      <w:pPr>
        <w:pStyle w:val="45"/>
        <w:keepNext w:val="0"/>
        <w:keepLines w:val="0"/>
        <w:pageBreakBefore w:val="0"/>
        <w:widowControl w:val="0"/>
        <w:kinsoku/>
        <w:wordWrap w:val="0"/>
        <w:overflowPunct/>
        <w:topLinePunct/>
        <w:autoSpaceDE/>
        <w:autoSpaceDN/>
        <w:bidi w:val="0"/>
        <w:adjustRightInd w:val="0"/>
        <w:snapToGrid w:val="0"/>
        <w:spacing w:line="440" w:lineRule="exact"/>
        <w:ind w:left="60" w:leftChars="25" w:right="60" w:rightChars="25" w:firstLine="480" w:firstLineChars="200"/>
        <w:textAlignment w:val="auto"/>
        <w:rPr>
          <w:rFonts w:hint="eastAsia"/>
          <w:color w:val="auto"/>
          <w:sz w:val="24"/>
          <w:szCs w:val="24"/>
          <w:highlight w:val="none"/>
          <w:lang w:val="en-US" w:eastAsia="zh-CN"/>
        </w:rPr>
      </w:pPr>
      <w:bookmarkStart w:id="626" w:name="_Toc26659"/>
      <w:bookmarkStart w:id="627" w:name="_Toc21750"/>
      <w:r>
        <w:rPr>
          <w:rFonts w:hint="eastAsia"/>
          <w:color w:val="auto"/>
          <w:sz w:val="24"/>
          <w:szCs w:val="24"/>
          <w:highlight w:val="none"/>
          <w:lang w:val="en-US" w:eastAsia="zh-CN"/>
        </w:rPr>
        <w:t>1.</w:t>
      </w:r>
      <w:bookmarkEnd w:id="626"/>
      <w:bookmarkEnd w:id="627"/>
      <w:r>
        <w:rPr>
          <w:rFonts w:hint="eastAsia"/>
          <w:color w:val="auto"/>
          <w:sz w:val="24"/>
          <w:szCs w:val="24"/>
          <w:highlight w:val="none"/>
          <w:lang w:val="en-US" w:eastAsia="zh-CN"/>
        </w:rPr>
        <w:t>采购代理机构在中标人确定后2个工作日内，在“四川政府采购网”发布中标公告，同时采购代理机构将中标通知书快递至中标人。</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firstLine="480" w:firstLineChars="200"/>
        <w:textAlignment w:val="auto"/>
        <w:rPr>
          <w:rFonts w:hint="eastAsia"/>
          <w:color w:val="auto"/>
          <w:sz w:val="24"/>
          <w:szCs w:val="24"/>
          <w:highlight w:val="none"/>
          <w:lang w:val="en-US" w:eastAsia="zh-CN"/>
        </w:rPr>
      </w:pPr>
      <w:bookmarkStart w:id="628" w:name="_Toc30865"/>
      <w:bookmarkStart w:id="629" w:name="_Toc12880"/>
      <w:r>
        <w:rPr>
          <w:rFonts w:hint="eastAsia"/>
          <w:color w:val="auto"/>
          <w:sz w:val="24"/>
          <w:szCs w:val="24"/>
          <w:highlight w:val="none"/>
          <w:lang w:val="en-US" w:eastAsia="zh-CN"/>
        </w:rPr>
        <w:t>2.采购项目需要交纳履约保证金的，中标供应商应当按照规定和要求及时向采购人交纳。</w:t>
      </w:r>
      <w:bookmarkEnd w:id="628"/>
      <w:bookmarkEnd w:id="629"/>
    </w:p>
    <w:p>
      <w:pPr>
        <w:pStyle w:val="27"/>
        <w:bidi w:val="0"/>
        <w:rPr>
          <w:rFonts w:hint="eastAsia"/>
          <w:color w:val="auto"/>
          <w:highlight w:val="none"/>
        </w:rPr>
      </w:pPr>
      <w:bookmarkStart w:id="630" w:name="_Toc3749"/>
      <w:r>
        <w:rPr>
          <w:rFonts w:hint="eastAsia"/>
          <w:color w:val="auto"/>
          <w:highlight w:val="none"/>
        </w:rPr>
        <w:t>中标通知</w:t>
      </w:r>
      <w:bookmarkEnd w:id="602"/>
      <w:bookmarkEnd w:id="603"/>
      <w:r>
        <w:rPr>
          <w:rFonts w:hint="eastAsia"/>
          <w:color w:val="auto"/>
          <w:highlight w:val="none"/>
        </w:rPr>
        <w:t>书</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2"/>
      <w:bookmarkEnd w:id="623"/>
      <w:bookmarkEnd w:id="625"/>
      <w:bookmarkEnd w:id="630"/>
    </w:p>
    <w:p>
      <w:pPr>
        <w:pStyle w:val="28"/>
        <w:bidi w:val="0"/>
        <w:rPr>
          <w:rFonts w:hint="eastAsia"/>
          <w:color w:val="auto"/>
          <w:highlight w:val="none"/>
        </w:rPr>
      </w:pPr>
      <w:r>
        <w:rPr>
          <w:rFonts w:hint="eastAsia"/>
          <w:color w:val="auto"/>
          <w:highlight w:val="none"/>
        </w:rPr>
        <w:t>中标通知书为签订政府采购合同的依据，是合同的有效组成部分。</w:t>
      </w:r>
    </w:p>
    <w:p>
      <w:pPr>
        <w:pStyle w:val="28"/>
        <w:bidi w:val="0"/>
        <w:rPr>
          <w:rFonts w:hint="eastAsia"/>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28"/>
        <w:bidi w:val="0"/>
        <w:rPr>
          <w:rFonts w:hint="eastAsia"/>
          <w:color w:val="auto"/>
          <w:highlight w:val="none"/>
        </w:rPr>
      </w:pPr>
      <w:r>
        <w:rPr>
          <w:rFonts w:hint="eastAsia"/>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28"/>
        <w:bidi w:val="0"/>
        <w:rPr>
          <w:rFonts w:hint="eastAsia"/>
          <w:color w:val="auto"/>
          <w:highlight w:val="none"/>
        </w:rPr>
      </w:pPr>
      <w:r>
        <w:rPr>
          <w:rFonts w:hint="eastAsia" w:cs="宋体"/>
          <w:color w:val="auto"/>
          <w:highlight w:val="none"/>
          <w:lang w:val="en-US" w:eastAsia="zh-CN"/>
        </w:rPr>
        <w:t>中标人应主动关注四川政府采购网公告信息</w:t>
      </w:r>
      <w:r>
        <w:rPr>
          <w:rFonts w:hint="eastAsia" w:cs="宋体"/>
          <w:color w:val="auto"/>
          <w:highlight w:val="none"/>
          <w:lang w:val="zh-CN"/>
        </w:rPr>
        <w:t>、</w:t>
      </w:r>
      <w:r>
        <w:rPr>
          <w:rFonts w:hint="eastAsia" w:cs="宋体"/>
          <w:color w:val="auto"/>
          <w:highlight w:val="none"/>
          <w:lang w:val="en-US" w:eastAsia="zh-CN"/>
        </w:rPr>
        <w:t>并积极配合代理机构办理中标通知书事宜。</w:t>
      </w:r>
      <w:r>
        <w:rPr>
          <w:rFonts w:hint="eastAsia"/>
          <w:color w:val="auto"/>
          <w:highlight w:val="none"/>
          <w:lang w:val="en-US" w:eastAsia="zh-CN"/>
        </w:rPr>
        <w:t>逾期未下载</w:t>
      </w:r>
      <w:r>
        <w:rPr>
          <w:rFonts w:hint="eastAsia" w:cs="宋体"/>
          <w:color w:val="auto"/>
          <w:highlight w:val="none"/>
          <w:lang w:val="zh-CN"/>
        </w:rPr>
        <w:t>中标通知书</w:t>
      </w:r>
      <w:r>
        <w:rPr>
          <w:rFonts w:hint="eastAsia"/>
          <w:color w:val="auto"/>
          <w:highlight w:val="none"/>
          <w:lang w:val="en-US" w:eastAsia="zh-CN"/>
        </w:rPr>
        <w:t>或未主动领取</w:t>
      </w:r>
      <w:r>
        <w:rPr>
          <w:rFonts w:hint="eastAsia" w:cs="宋体"/>
          <w:color w:val="auto"/>
          <w:highlight w:val="none"/>
          <w:lang w:val="zh-CN"/>
        </w:rPr>
        <w:t>中标通知书</w:t>
      </w:r>
      <w:r>
        <w:rPr>
          <w:rFonts w:hint="eastAsia" w:cs="宋体"/>
          <w:color w:val="auto"/>
          <w:highlight w:val="none"/>
          <w:lang w:val="en-US" w:eastAsia="zh-CN"/>
        </w:rPr>
        <w:t>或不配合代理机构发出中标通知书</w:t>
      </w:r>
      <w:r>
        <w:rPr>
          <w:rFonts w:hint="eastAsia" w:cs="宋体"/>
          <w:color w:val="auto"/>
          <w:highlight w:val="none"/>
          <w:lang w:val="zh-CN"/>
        </w:rPr>
        <w:t>的</w:t>
      </w:r>
      <w:r>
        <w:rPr>
          <w:rFonts w:hint="eastAsia" w:cs="宋体"/>
          <w:color w:val="auto"/>
          <w:highlight w:val="none"/>
          <w:lang w:val="en-US" w:eastAsia="zh-CN"/>
        </w:rPr>
        <w:t>一切不利后果由中标人自行承担。</w:t>
      </w:r>
    </w:p>
    <w:p>
      <w:pPr>
        <w:pStyle w:val="46"/>
        <w:bidi w:val="0"/>
        <w:rPr>
          <w:rFonts w:hint="eastAsia"/>
          <w:color w:val="auto"/>
          <w:highlight w:val="none"/>
        </w:rPr>
      </w:pPr>
      <w:bookmarkStart w:id="631" w:name="_Toc717"/>
      <w:bookmarkStart w:id="632" w:name="_Toc217446064"/>
      <w:bookmarkStart w:id="633" w:name="_Toc10354"/>
      <w:bookmarkStart w:id="634" w:name="_Toc2685"/>
      <w:bookmarkStart w:id="635" w:name="_Toc13383"/>
      <w:bookmarkStart w:id="636" w:name="_Toc30422"/>
      <w:bookmarkStart w:id="637" w:name="_Toc327196290"/>
      <w:bookmarkStart w:id="638" w:name="_Toc183682377"/>
      <w:bookmarkStart w:id="639" w:name="_Toc183582240"/>
      <w:r>
        <w:rPr>
          <w:rFonts w:hint="eastAsia"/>
          <w:color w:val="auto"/>
          <w:highlight w:val="none"/>
        </w:rPr>
        <w:t>签订及履行合同和验收</w:t>
      </w:r>
      <w:bookmarkEnd w:id="631"/>
      <w:bookmarkEnd w:id="632"/>
      <w:bookmarkEnd w:id="633"/>
      <w:bookmarkEnd w:id="634"/>
      <w:bookmarkEnd w:id="635"/>
      <w:bookmarkEnd w:id="636"/>
      <w:bookmarkEnd w:id="637"/>
    </w:p>
    <w:p>
      <w:pPr>
        <w:pStyle w:val="27"/>
        <w:numPr>
          <w:ilvl w:val="2"/>
          <w:numId w:val="16"/>
        </w:numPr>
        <w:bidi w:val="0"/>
        <w:rPr>
          <w:rFonts w:hint="eastAsia"/>
          <w:color w:val="auto"/>
          <w:highlight w:val="none"/>
        </w:rPr>
      </w:pPr>
      <w:bookmarkStart w:id="640" w:name="_Toc308084602"/>
      <w:bookmarkStart w:id="641" w:name="_Toc5659"/>
      <w:bookmarkStart w:id="642" w:name="_Toc16835"/>
      <w:bookmarkStart w:id="643" w:name="_Toc319439905"/>
      <w:bookmarkStart w:id="644" w:name="_Toc308188157"/>
      <w:bookmarkStart w:id="645" w:name="_Toc309897520"/>
      <w:bookmarkStart w:id="646" w:name="_Toc27214"/>
      <w:bookmarkStart w:id="647" w:name="_Toc20427"/>
      <w:bookmarkStart w:id="648" w:name="_Toc4460"/>
      <w:bookmarkStart w:id="649" w:name="_Toc217446065"/>
      <w:bookmarkStart w:id="650" w:name="_Toc327196291"/>
      <w:bookmarkStart w:id="651" w:name="_Toc27989"/>
      <w:bookmarkStart w:id="652" w:name="_Toc24949"/>
      <w:bookmarkStart w:id="653" w:name="_Toc319440147"/>
      <w:bookmarkStart w:id="654" w:name="_Toc3130"/>
      <w:bookmarkStart w:id="655" w:name="_Toc307501114"/>
      <w:bookmarkStart w:id="656" w:name="_Toc16526"/>
      <w:bookmarkStart w:id="657" w:name="_Toc25992"/>
      <w:bookmarkStart w:id="658" w:name="_Toc9464"/>
      <w:bookmarkStart w:id="659" w:name="_Toc515"/>
      <w:bookmarkStart w:id="660" w:name="_Toc307564857"/>
      <w:r>
        <w:rPr>
          <w:rFonts w:hint="eastAsia"/>
          <w:color w:val="auto"/>
          <w:highlight w:val="none"/>
        </w:rPr>
        <w:t>签订合同</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28"/>
        <w:bidi w:val="0"/>
        <w:rPr>
          <w:color w:val="auto"/>
          <w:highlight w:val="none"/>
        </w:rPr>
      </w:pPr>
      <w:bookmarkStart w:id="661" w:name="_Toc31397"/>
      <w:bookmarkStart w:id="662" w:name="_Toc31670"/>
      <w:bookmarkStart w:id="663" w:name="_Toc12489"/>
      <w:bookmarkStart w:id="664" w:name="_Toc308084603"/>
      <w:bookmarkStart w:id="665" w:name="_Toc309897521"/>
      <w:bookmarkStart w:id="666" w:name="_Toc307501115"/>
      <w:bookmarkStart w:id="667" w:name="_Toc12852"/>
      <w:bookmarkStart w:id="668" w:name="_Toc319439906"/>
      <w:bookmarkStart w:id="669" w:name="_Toc217446066"/>
      <w:bookmarkStart w:id="670" w:name="_Toc308188158"/>
      <w:bookmarkStart w:id="671" w:name="_Toc307564858"/>
      <w:bookmarkStart w:id="672" w:name="_Toc3758"/>
      <w:bookmarkStart w:id="673" w:name="_Toc319440148"/>
      <w:bookmarkStart w:id="674" w:name="_Toc327196292"/>
      <w:bookmarkStart w:id="675" w:name="_Toc20139"/>
      <w:bookmarkStart w:id="676" w:name="_Toc25756"/>
      <w:bookmarkStart w:id="677" w:name="_Toc24196"/>
      <w:bookmarkStart w:id="678" w:name="_Toc29795"/>
      <w:bookmarkStart w:id="679" w:name="_Toc26000"/>
      <w:r>
        <w:rPr>
          <w:rFonts w:hint="eastAsia"/>
          <w:color w:val="auto"/>
          <w:highlight w:val="none"/>
        </w:rPr>
        <w:t>中标人应在中标通知书发出</w:t>
      </w:r>
      <w:r>
        <w:rPr>
          <w:rFonts w:hint="eastAsia"/>
          <w:color w:val="auto"/>
          <w:highlight w:val="none"/>
          <w:lang w:val="en-US" w:eastAsia="zh-CN"/>
        </w:rPr>
        <w:t>后，按照招标文件第六章相关要求与</w:t>
      </w:r>
      <w:r>
        <w:rPr>
          <w:rFonts w:hint="eastAsia"/>
          <w:color w:val="auto"/>
          <w:highlight w:val="none"/>
        </w:rPr>
        <w:t>采购人签订采购合同。由于中标人的原因逾期未与采购人签订采购合同的，将视为放弃中标，取消其中标资格并将按相关规定进行处理。</w:t>
      </w:r>
      <w:r>
        <w:rPr>
          <w:rFonts w:hint="eastAsia"/>
          <w:color w:val="auto"/>
          <w:highlight w:val="none"/>
          <w:lang w:val="en-US" w:eastAsia="zh-Hans"/>
        </w:rPr>
        <w:t>若因采购人的原因未与中标人签订合同</w:t>
      </w:r>
      <w:r>
        <w:rPr>
          <w:rFonts w:hint="default"/>
          <w:color w:val="auto"/>
          <w:highlight w:val="none"/>
          <w:lang w:eastAsia="zh-Hans"/>
        </w:rPr>
        <w:t>，</w:t>
      </w:r>
      <w:r>
        <w:rPr>
          <w:rFonts w:hint="eastAsia"/>
          <w:color w:val="auto"/>
          <w:highlight w:val="none"/>
          <w:lang w:val="en-US" w:eastAsia="zh-Hans"/>
        </w:rPr>
        <w:t>采购人将向中标人支付中标人因本次采购事宜产生的标书制作等直接费用</w:t>
      </w:r>
      <w:r>
        <w:rPr>
          <w:rFonts w:hint="default"/>
          <w:color w:val="auto"/>
          <w:highlight w:val="none"/>
          <w:lang w:eastAsia="zh-Hans"/>
        </w:rPr>
        <w:t>。</w:t>
      </w:r>
    </w:p>
    <w:p>
      <w:pPr>
        <w:pStyle w:val="28"/>
        <w:bidi w:val="0"/>
        <w:rPr>
          <w:rFonts w:hint="eastAsia"/>
          <w:color w:val="auto"/>
          <w:highlight w:val="none"/>
        </w:rPr>
      </w:pPr>
      <w:r>
        <w:rPr>
          <w:rFonts w:hint="eastAsia"/>
          <w:color w:val="auto"/>
          <w:highlight w:val="none"/>
        </w:rPr>
        <w:t>政府采购合同应当包括采购人与中标人的名称和住所、标的、数量、质量、价款或者报酬、履行期限及地点和方式、验收要求、违约责任、解决争议的方法等内容。</w:t>
      </w:r>
    </w:p>
    <w:p>
      <w:pPr>
        <w:pStyle w:val="28"/>
        <w:bidi w:val="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8"/>
        <w:bidi w:val="0"/>
        <w:rPr>
          <w:color w:val="auto"/>
          <w:highlight w:val="none"/>
        </w:rPr>
      </w:pPr>
      <w:r>
        <w:rPr>
          <w:rFonts w:hint="eastAsia" w:ascii="宋体" w:hAnsi="宋体" w:eastAsia="宋体" w:cs="宋体"/>
          <w:i w:val="0"/>
          <w:iCs w:val="0"/>
          <w:caps w:val="0"/>
          <w:color w:val="auto"/>
          <w:spacing w:val="0"/>
          <w:sz w:val="24"/>
          <w:szCs w:val="24"/>
          <w:highlight w:val="none"/>
          <w:shd w:val="clear" w:fill="FFFFFF"/>
        </w:rPr>
        <w:t>采购人不得要求</w:t>
      </w:r>
      <w:r>
        <w:rPr>
          <w:rFonts w:hint="eastAsia" w:ascii="宋体" w:hAnsi="宋体" w:eastAsia="宋体" w:cs="宋体"/>
          <w:i w:val="0"/>
          <w:iCs w:val="0"/>
          <w:caps w:val="0"/>
          <w:color w:val="auto"/>
          <w:spacing w:val="0"/>
          <w:sz w:val="24"/>
          <w:szCs w:val="24"/>
          <w:highlight w:val="none"/>
          <w:shd w:val="clear" w:fill="FFFFFF"/>
          <w:lang w:val="en-US" w:eastAsia="zh-CN"/>
        </w:rPr>
        <w:t>中标</w:t>
      </w:r>
      <w:r>
        <w:rPr>
          <w:rFonts w:hint="eastAsia" w:ascii="宋体" w:hAnsi="宋体" w:eastAsia="宋体" w:cs="宋体"/>
          <w:i w:val="0"/>
          <w:iCs w:val="0"/>
          <w:caps w:val="0"/>
          <w:color w:val="auto"/>
          <w:spacing w:val="0"/>
          <w:sz w:val="24"/>
          <w:szCs w:val="24"/>
          <w:highlight w:val="none"/>
          <w:shd w:val="clear" w:fill="FFFFFF"/>
        </w:rPr>
        <w:t>供应商接受不合理的付款方式、期限、条件和违约责任等交易条件，不得约定以审计作为支付供应商款项的条件以及验收合格后分期付款和违规预留质量保证金</w:t>
      </w:r>
      <w:r>
        <w:rPr>
          <w:rFonts w:hint="eastAsia" w:cs="宋体"/>
          <w:i w:val="0"/>
          <w:iCs w:val="0"/>
          <w:caps w:val="0"/>
          <w:color w:val="auto"/>
          <w:spacing w:val="0"/>
          <w:sz w:val="24"/>
          <w:szCs w:val="24"/>
          <w:highlight w:val="none"/>
          <w:shd w:val="clear" w:fill="FFFFFF"/>
          <w:lang w:eastAsia="zh-CN"/>
        </w:rPr>
        <w:t>。</w:t>
      </w:r>
    </w:p>
    <w:p>
      <w:pPr>
        <w:pStyle w:val="28"/>
        <w:bidi w:val="0"/>
        <w:rPr>
          <w:color w:val="auto"/>
          <w:highlight w:val="none"/>
        </w:rPr>
      </w:pPr>
      <w:r>
        <w:rPr>
          <w:rFonts w:hint="eastAsia"/>
          <w:color w:val="auto"/>
          <w:highlight w:val="none"/>
          <w:lang w:val="en-US" w:eastAsia="zh-CN"/>
        </w:rPr>
        <w:t>本项目的招标</w:t>
      </w:r>
      <w:r>
        <w:rPr>
          <w:rFonts w:hint="eastAsia"/>
          <w:color w:val="auto"/>
          <w:highlight w:val="none"/>
        </w:rPr>
        <w:t>文件、</w:t>
      </w:r>
      <w:r>
        <w:rPr>
          <w:rFonts w:hint="eastAsia"/>
          <w:color w:val="auto"/>
          <w:highlight w:val="none"/>
          <w:lang w:val="en-US" w:eastAsia="zh-CN"/>
        </w:rPr>
        <w:t>中标</w:t>
      </w:r>
      <w:r>
        <w:rPr>
          <w:rFonts w:hint="eastAsia"/>
          <w:color w:val="auto"/>
          <w:highlight w:val="none"/>
        </w:rPr>
        <w:t>供应商提交的</w:t>
      </w:r>
      <w:r>
        <w:rPr>
          <w:rFonts w:hint="eastAsia"/>
          <w:color w:val="auto"/>
          <w:highlight w:val="none"/>
          <w:lang w:val="en-US" w:eastAsia="zh-CN"/>
        </w:rPr>
        <w:t>投标</w:t>
      </w:r>
      <w:r>
        <w:rPr>
          <w:rFonts w:hint="eastAsia"/>
          <w:color w:val="auto"/>
          <w:highlight w:val="none"/>
        </w:rPr>
        <w:t>文件、</w:t>
      </w:r>
      <w:r>
        <w:rPr>
          <w:rFonts w:hint="eastAsia"/>
          <w:color w:val="auto"/>
          <w:highlight w:val="none"/>
          <w:lang w:val="en-US" w:eastAsia="zh-CN"/>
        </w:rPr>
        <w:t>评审</w:t>
      </w:r>
      <w:r>
        <w:rPr>
          <w:rFonts w:hint="eastAsia"/>
          <w:color w:val="auto"/>
          <w:highlight w:val="none"/>
        </w:rPr>
        <w:t>中的</w:t>
      </w:r>
      <w:r>
        <w:rPr>
          <w:rFonts w:hint="eastAsia"/>
          <w:color w:val="auto"/>
          <w:highlight w:val="none"/>
          <w:lang w:val="en-US" w:eastAsia="zh-CN"/>
        </w:rPr>
        <w:t>澄清</w:t>
      </w:r>
      <w:r>
        <w:rPr>
          <w:rFonts w:hint="eastAsia"/>
          <w:color w:val="auto"/>
          <w:highlight w:val="none"/>
        </w:rPr>
        <w:t>、</w:t>
      </w:r>
      <w:r>
        <w:rPr>
          <w:rFonts w:hint="eastAsia"/>
          <w:color w:val="auto"/>
          <w:highlight w:val="none"/>
          <w:lang w:val="en-US" w:eastAsia="zh-CN"/>
        </w:rPr>
        <w:t>中标</w:t>
      </w:r>
      <w:r>
        <w:rPr>
          <w:rFonts w:hint="eastAsia"/>
          <w:color w:val="auto"/>
          <w:highlight w:val="none"/>
        </w:rPr>
        <w:t>通知书等</w:t>
      </w:r>
      <w:r>
        <w:rPr>
          <w:rFonts w:hint="eastAsia"/>
          <w:color w:val="auto"/>
          <w:highlight w:val="none"/>
          <w:lang w:val="en-US" w:eastAsia="zh-CN"/>
        </w:rPr>
        <w:t>文件均具</w:t>
      </w:r>
      <w:r>
        <w:rPr>
          <w:rFonts w:hint="eastAsia"/>
          <w:color w:val="auto"/>
          <w:highlight w:val="none"/>
        </w:rPr>
        <w:t>有法律约束力</w:t>
      </w:r>
      <w:r>
        <w:rPr>
          <w:rFonts w:hint="eastAsia"/>
          <w:color w:val="auto"/>
          <w:highlight w:val="none"/>
          <w:lang w:eastAsia="zh-CN"/>
        </w:rPr>
        <w:t>，</w:t>
      </w:r>
      <w:r>
        <w:rPr>
          <w:rFonts w:hint="eastAsia"/>
          <w:color w:val="auto"/>
          <w:highlight w:val="none"/>
          <w:lang w:val="en-US" w:eastAsia="zh-CN"/>
        </w:rPr>
        <w:t>属于</w:t>
      </w:r>
      <w:r>
        <w:rPr>
          <w:rFonts w:hint="eastAsia"/>
          <w:color w:val="auto"/>
          <w:highlight w:val="none"/>
        </w:rPr>
        <w:t>合同组成</w:t>
      </w:r>
      <w:r>
        <w:rPr>
          <w:rFonts w:hint="eastAsia"/>
          <w:color w:val="auto"/>
          <w:highlight w:val="none"/>
          <w:lang w:val="en-US" w:eastAsia="zh-CN"/>
        </w:rPr>
        <w:t>部分。</w:t>
      </w:r>
    </w:p>
    <w:p>
      <w:pPr>
        <w:pStyle w:val="28"/>
        <w:bidi w:val="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28"/>
        <w:bidi w:val="0"/>
        <w:rPr>
          <w:b/>
          <w:bCs/>
          <w:color w:val="auto"/>
          <w:highlight w:val="none"/>
        </w:rPr>
      </w:pPr>
      <w:r>
        <w:rPr>
          <w:rFonts w:hint="eastAsia"/>
          <w:b/>
          <w:bCs/>
          <w:color w:val="auto"/>
          <w:highlight w:val="none"/>
        </w:rPr>
        <w:t>中标人在合同签订之后2个工作日内，将签订的合同(</w:t>
      </w:r>
      <w:r>
        <w:rPr>
          <w:rFonts w:hint="eastAsia"/>
          <w:b/>
          <w:bCs/>
          <w:color w:val="auto"/>
          <w:highlight w:val="none"/>
          <w:lang w:val="en-US" w:eastAsia="zh-CN"/>
        </w:rPr>
        <w:t>1</w:t>
      </w:r>
      <w:r>
        <w:rPr>
          <w:rFonts w:hint="eastAsia"/>
          <w:b/>
          <w:bCs/>
          <w:color w:val="auto"/>
          <w:highlight w:val="none"/>
        </w:rPr>
        <w:t>份)送采购代理机构进行</w:t>
      </w:r>
      <w:r>
        <w:rPr>
          <w:rFonts w:hint="eastAsia"/>
          <w:b/>
          <w:bCs/>
          <w:color w:val="auto"/>
          <w:highlight w:val="none"/>
          <w:lang w:val="en-US" w:eastAsia="zh-CN"/>
        </w:rPr>
        <w:t>归档留存</w:t>
      </w:r>
      <w:r>
        <w:rPr>
          <w:rFonts w:hint="eastAsia"/>
          <w:b/>
          <w:bCs/>
          <w:color w:val="auto"/>
          <w:highlight w:val="none"/>
        </w:rPr>
        <w:t>。</w:t>
      </w:r>
    </w:p>
    <w:p>
      <w:pPr>
        <w:pStyle w:val="27"/>
        <w:numPr>
          <w:ilvl w:val="2"/>
          <w:numId w:val="16"/>
        </w:numPr>
        <w:bidi w:val="0"/>
        <w:rPr>
          <w:rFonts w:hint="eastAsia"/>
          <w:color w:val="auto"/>
          <w:highlight w:val="none"/>
          <w:lang w:val="en-US"/>
        </w:rPr>
      </w:pPr>
      <w:bookmarkStart w:id="680" w:name="_Toc12864"/>
      <w:bookmarkStart w:id="681" w:name="_Toc19026"/>
      <w:r>
        <w:rPr>
          <w:rFonts w:hint="eastAsia"/>
          <w:color w:val="auto"/>
          <w:highlight w:val="none"/>
        </w:rPr>
        <w:t>合同</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rFonts w:hint="eastAsia"/>
          <w:color w:val="auto"/>
          <w:highlight w:val="none"/>
        </w:rPr>
        <w:t>分包</w:t>
      </w:r>
      <w:bookmarkEnd w:id="676"/>
      <w:bookmarkEnd w:id="677"/>
      <w:r>
        <w:rPr>
          <w:rFonts w:hint="eastAsia"/>
          <w:color w:val="auto"/>
          <w:highlight w:val="none"/>
          <w:lang w:val="en-US" w:eastAsia="zh-CN"/>
        </w:rPr>
        <w:t>(实质性要求)</w:t>
      </w:r>
      <w:bookmarkEnd w:id="678"/>
      <w:bookmarkEnd w:id="679"/>
      <w:bookmarkEnd w:id="680"/>
      <w:bookmarkEnd w:id="681"/>
    </w:p>
    <w:p>
      <w:pPr>
        <w:pStyle w:val="29"/>
        <w:keepNext w:val="0"/>
        <w:keepLines w:val="0"/>
        <w:pageBreakBefore w:val="0"/>
        <w:widowControl w:val="0"/>
        <w:kinsoku/>
        <w:overflowPunct/>
        <w:autoSpaceDE/>
        <w:autoSpaceDN/>
        <w:bidi w:val="0"/>
        <w:adjustRightInd w:val="0"/>
        <w:snapToGrid w:val="0"/>
        <w:spacing w:line="440" w:lineRule="exact"/>
        <w:textAlignment w:val="auto"/>
        <w:rPr>
          <w:rFonts w:hint="eastAsia" w:ascii="宋体" w:hAnsi="宋体" w:eastAsia="宋体" w:cstheme="minorBidi"/>
          <w:color w:val="auto"/>
          <w:kern w:val="2"/>
          <w:sz w:val="24"/>
          <w:szCs w:val="24"/>
          <w:highlight w:val="none"/>
          <w:lang w:val="en-US" w:eastAsia="zh-CN" w:bidi="ar-SA"/>
        </w:rPr>
      </w:pPr>
      <w:bookmarkStart w:id="682" w:name="_Toc5242"/>
      <w:bookmarkStart w:id="683" w:name="_Toc29526"/>
      <w:bookmarkStart w:id="684" w:name="_Toc28937"/>
      <w:bookmarkStart w:id="685" w:name="_Toc327196293"/>
      <w:bookmarkStart w:id="686" w:name="_Toc307501116"/>
      <w:bookmarkStart w:id="687" w:name="_Toc307564859"/>
      <w:bookmarkStart w:id="688" w:name="_Toc319439907"/>
      <w:bookmarkStart w:id="689" w:name="_Toc217446067"/>
      <w:bookmarkStart w:id="690" w:name="_Toc29552"/>
      <w:bookmarkStart w:id="691" w:name="_Toc29332"/>
      <w:bookmarkStart w:id="692" w:name="_Toc15644"/>
      <w:bookmarkStart w:id="693" w:name="_Toc19999"/>
      <w:bookmarkStart w:id="694" w:name="_Toc308188159"/>
      <w:bookmarkStart w:id="695" w:name="_Toc30954"/>
      <w:bookmarkStart w:id="696" w:name="_Toc30827"/>
      <w:bookmarkStart w:id="697" w:name="_Toc319440149"/>
      <w:bookmarkStart w:id="698" w:name="_Toc308084604"/>
      <w:bookmarkStart w:id="699" w:name="_Toc29842"/>
      <w:bookmarkStart w:id="700" w:name="_Toc16143"/>
      <w:bookmarkStart w:id="701" w:name="_Toc309897522"/>
      <w:r>
        <w:rPr>
          <w:rFonts w:hint="eastAsia"/>
          <w:color w:val="auto"/>
          <w:highlight w:val="none"/>
          <w:lang w:val="en-US" w:eastAsia="zh-CN"/>
        </w:rPr>
        <w:t>本项目不允许供应商以合同分包形式进行投标</w:t>
      </w:r>
      <w:r>
        <w:rPr>
          <w:rFonts w:hint="eastAsia" w:ascii="宋体" w:hAnsi="宋体" w:eastAsia="宋体" w:cstheme="minorBidi"/>
          <w:color w:val="auto"/>
          <w:kern w:val="2"/>
          <w:sz w:val="24"/>
          <w:szCs w:val="24"/>
          <w:highlight w:val="none"/>
          <w:lang w:val="en-US" w:eastAsia="zh-CN" w:bidi="ar-SA"/>
        </w:rPr>
        <w:t>。</w:t>
      </w:r>
    </w:p>
    <w:p>
      <w:pPr>
        <w:pStyle w:val="27"/>
        <w:numPr>
          <w:ilvl w:val="2"/>
          <w:numId w:val="16"/>
        </w:numPr>
        <w:bidi w:val="0"/>
        <w:rPr>
          <w:rFonts w:hint="eastAsia"/>
          <w:color w:val="auto"/>
          <w:highlight w:val="none"/>
        </w:rPr>
      </w:pPr>
      <w:bookmarkStart w:id="702" w:name="_Toc28388"/>
      <w:r>
        <w:rPr>
          <w:rFonts w:hint="eastAsia"/>
          <w:color w:val="auto"/>
          <w:highlight w:val="none"/>
        </w:rPr>
        <w:t>合同转包</w:t>
      </w:r>
      <w:r>
        <w:rPr>
          <w:rFonts w:hint="eastAsia"/>
          <w:color w:val="auto"/>
          <w:highlight w:val="none"/>
          <w:lang w:val="en-US" w:eastAsia="zh-CN"/>
        </w:rPr>
        <w:t>(实质性要求)</w:t>
      </w:r>
      <w:bookmarkEnd w:id="682"/>
      <w:bookmarkEnd w:id="683"/>
      <w:bookmarkEnd w:id="684"/>
      <w:bookmarkEnd w:id="702"/>
    </w:p>
    <w:p>
      <w:pPr>
        <w:pStyle w:val="29"/>
        <w:bidi w:val="0"/>
        <w:rPr>
          <w:rFonts w:hint="eastAsia"/>
          <w:color w:val="auto"/>
          <w:highlight w:val="none"/>
        </w:rPr>
      </w:pP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29"/>
        <w:bidi w:val="0"/>
        <w:rPr>
          <w:rFonts w:hint="eastAsia"/>
          <w:color w:val="auto"/>
          <w:highlight w:val="none"/>
        </w:rPr>
      </w:pPr>
      <w:r>
        <w:rPr>
          <w:rFonts w:hint="eastAsia"/>
          <w:color w:val="auto"/>
          <w:highlight w:val="none"/>
        </w:rPr>
        <w:t>中标人转包的，视同拒绝履行政府采购合同义务，将依法追究法律责任。</w:t>
      </w:r>
    </w:p>
    <w:p>
      <w:pPr>
        <w:pStyle w:val="27"/>
        <w:numPr>
          <w:ilvl w:val="2"/>
          <w:numId w:val="16"/>
        </w:numPr>
        <w:bidi w:val="0"/>
        <w:rPr>
          <w:rFonts w:hint="eastAsia"/>
          <w:color w:val="auto"/>
          <w:highlight w:val="none"/>
        </w:rPr>
      </w:pPr>
      <w:bookmarkStart w:id="703" w:name="_Toc23235"/>
      <w:bookmarkStart w:id="704" w:name="_Toc12603"/>
      <w:bookmarkStart w:id="705" w:name="_Toc11992"/>
      <w:bookmarkStart w:id="706" w:name="_Toc9592"/>
      <w:r>
        <w:rPr>
          <w:rFonts w:hint="eastAsia"/>
          <w:color w:val="auto"/>
          <w:highlight w:val="none"/>
        </w:rPr>
        <w:t>补充合同</w:t>
      </w:r>
      <w:bookmarkEnd w:id="703"/>
      <w:bookmarkEnd w:id="704"/>
      <w:bookmarkEnd w:id="705"/>
      <w:bookmarkEnd w:id="706"/>
    </w:p>
    <w:p>
      <w:pPr>
        <w:pStyle w:val="29"/>
        <w:bidi w:val="0"/>
        <w:rPr>
          <w:rFonts w:hint="eastAsia"/>
          <w:color w:val="auto"/>
          <w:highlight w:val="none"/>
        </w:rPr>
      </w:pPr>
      <w:r>
        <w:rPr>
          <w:rFonts w:hint="eastAsia"/>
          <w:color w:val="auto"/>
          <w:highlight w:val="none"/>
        </w:rPr>
        <w:t>采购合同履行过程中，采购人需要追加与合同标的相同的货物或者服务的，在不改变合同其他条款的前提下，可以与</w:t>
      </w:r>
      <w:r>
        <w:rPr>
          <w:rFonts w:hint="eastAsia"/>
          <w:color w:val="auto"/>
          <w:highlight w:val="none"/>
          <w:lang w:eastAsia="zh-CN"/>
        </w:rPr>
        <w:t>中标人</w:t>
      </w:r>
      <w:r>
        <w:rPr>
          <w:rFonts w:hint="eastAsia"/>
          <w:color w:val="auto"/>
          <w:highlight w:val="none"/>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27"/>
        <w:numPr>
          <w:ilvl w:val="2"/>
          <w:numId w:val="16"/>
        </w:numPr>
        <w:bidi w:val="0"/>
        <w:rPr>
          <w:rFonts w:hint="eastAsia"/>
          <w:color w:val="auto"/>
          <w:highlight w:val="none"/>
        </w:rPr>
      </w:pPr>
      <w:bookmarkStart w:id="707" w:name="_Toc12689"/>
      <w:bookmarkStart w:id="708" w:name="_Toc13715"/>
      <w:bookmarkStart w:id="709" w:name="_Toc30638"/>
      <w:bookmarkStart w:id="710" w:name="_Toc27861"/>
      <w:r>
        <w:rPr>
          <w:rFonts w:hint="eastAsia"/>
          <w:color w:val="auto"/>
          <w:highlight w:val="none"/>
        </w:rPr>
        <w:t>合同公告</w:t>
      </w:r>
      <w:bookmarkEnd w:id="707"/>
      <w:bookmarkEnd w:id="708"/>
      <w:bookmarkEnd w:id="709"/>
      <w:r>
        <w:rPr>
          <w:rFonts w:hint="eastAsia"/>
          <w:color w:val="auto"/>
          <w:highlight w:val="none"/>
          <w:lang w:val="en-US" w:eastAsia="zh-CN"/>
        </w:rPr>
        <w:t>备案</w:t>
      </w:r>
      <w:bookmarkEnd w:id="710"/>
    </w:p>
    <w:p>
      <w:pPr>
        <w:pStyle w:val="29"/>
        <w:bidi w:val="0"/>
        <w:rPr>
          <w:rFonts w:hint="eastAsia"/>
          <w:color w:val="auto"/>
          <w:highlight w:val="none"/>
        </w:rPr>
      </w:pPr>
      <w:r>
        <w:rPr>
          <w:rFonts w:hint="eastAsia"/>
          <w:color w:val="auto"/>
          <w:highlight w:val="none"/>
        </w:rPr>
        <w:t>采购人应当自政府采购合同签订(双方当事人均已签字盖章)之日起2个工作日内，将政府采购合同在省级以上人民政府财政部门指定的媒体</w:t>
      </w:r>
      <w:r>
        <w:rPr>
          <w:rFonts w:hint="eastAsia"/>
          <w:color w:val="auto"/>
          <w:highlight w:val="none"/>
          <w:lang w:eastAsia="zh-CN"/>
        </w:rPr>
        <w:t>“四川政府采购网”</w:t>
      </w:r>
      <w:r>
        <w:rPr>
          <w:rFonts w:hint="eastAsia"/>
          <w:color w:val="auto"/>
          <w:highlight w:val="none"/>
        </w:rPr>
        <w:t>公告，但政府采购合同中涉及国家秘密、商业秘密的内容除外。</w:t>
      </w:r>
    </w:p>
    <w:p>
      <w:pPr>
        <w:pStyle w:val="29"/>
        <w:bidi w:val="0"/>
        <w:rPr>
          <w:rFonts w:hint="eastAsia" w:eastAsia="宋体"/>
          <w:color w:val="auto"/>
          <w:highlight w:val="none"/>
          <w:lang w:eastAsia="zh-CN"/>
        </w:rPr>
      </w:pPr>
      <w:r>
        <w:rPr>
          <w:rFonts w:hint="eastAsia"/>
          <w:color w:val="auto"/>
          <w:highlight w:val="none"/>
        </w:rPr>
        <w:t>采购人应当将政府采购合同副本自签订</w:t>
      </w:r>
      <w:r>
        <w:rPr>
          <w:rFonts w:hint="eastAsia"/>
          <w:color w:val="auto"/>
          <w:highlight w:val="none"/>
          <w:lang w:eastAsia="zh-CN"/>
        </w:rPr>
        <w:t>(</w:t>
      </w:r>
      <w:r>
        <w:rPr>
          <w:rFonts w:hint="eastAsia"/>
          <w:color w:val="auto"/>
          <w:highlight w:val="none"/>
        </w:rPr>
        <w:t>双方当事人均已签字盖章</w:t>
      </w:r>
      <w:r>
        <w:rPr>
          <w:rFonts w:hint="eastAsia"/>
          <w:color w:val="auto"/>
          <w:highlight w:val="none"/>
          <w:lang w:eastAsia="zh-CN"/>
        </w:rPr>
        <w:t>)</w:t>
      </w:r>
      <w:r>
        <w:rPr>
          <w:rFonts w:hint="eastAsia"/>
          <w:color w:val="auto"/>
          <w:highlight w:val="none"/>
        </w:rPr>
        <w:t>之日起七个工作日内通过</w:t>
      </w:r>
      <w:r>
        <w:rPr>
          <w:rFonts w:hint="eastAsia"/>
          <w:color w:val="auto"/>
          <w:highlight w:val="none"/>
          <w:lang w:eastAsia="zh-CN"/>
        </w:rPr>
        <w:t>“四川政府采购网”</w:t>
      </w:r>
      <w:r>
        <w:rPr>
          <w:rFonts w:hint="eastAsia"/>
          <w:color w:val="auto"/>
          <w:highlight w:val="none"/>
        </w:rPr>
        <w:t>报同级财政部门备案</w:t>
      </w:r>
      <w:r>
        <w:rPr>
          <w:rFonts w:hint="eastAsia"/>
          <w:color w:val="auto"/>
          <w:highlight w:val="none"/>
          <w:lang w:eastAsia="zh-CN"/>
        </w:rPr>
        <w:t>。</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pStyle w:val="27"/>
        <w:numPr>
          <w:ilvl w:val="2"/>
          <w:numId w:val="16"/>
        </w:numPr>
        <w:bidi w:val="0"/>
        <w:rPr>
          <w:rFonts w:hint="eastAsia"/>
          <w:color w:val="auto"/>
          <w:highlight w:val="none"/>
        </w:rPr>
      </w:pPr>
      <w:bookmarkStart w:id="711" w:name="_Toc308164812"/>
      <w:bookmarkStart w:id="712" w:name="_Toc20036"/>
      <w:bookmarkStart w:id="713" w:name="_Toc24237"/>
      <w:bookmarkStart w:id="714" w:name="_Toc24147"/>
      <w:bookmarkStart w:id="715" w:name="_Toc31704"/>
      <w:bookmarkStart w:id="716" w:name="_Toc309897523"/>
      <w:bookmarkStart w:id="717" w:name="_Toc307564860"/>
      <w:bookmarkStart w:id="718" w:name="_Toc11533"/>
      <w:bookmarkStart w:id="719" w:name="_Toc27331"/>
      <w:bookmarkStart w:id="720" w:name="_Toc19537"/>
      <w:bookmarkStart w:id="721" w:name="_Toc308084605"/>
      <w:bookmarkStart w:id="722" w:name="_Toc319440150"/>
      <w:bookmarkStart w:id="723" w:name="_Toc319439908"/>
      <w:bookmarkStart w:id="724" w:name="_Toc307501117"/>
      <w:bookmarkStart w:id="725" w:name="_Toc30856"/>
      <w:bookmarkStart w:id="726" w:name="_Toc22746"/>
      <w:bookmarkStart w:id="727" w:name="_Toc327196294"/>
      <w:bookmarkStart w:id="728" w:name="_Toc27686"/>
      <w:bookmarkStart w:id="729" w:name="_Toc16034"/>
      <w:bookmarkStart w:id="730" w:name="_Toc217446068"/>
      <w:bookmarkStart w:id="731" w:name="_Toc308188160"/>
      <w:bookmarkStart w:id="732" w:name="_Toc28404"/>
      <w:r>
        <w:rPr>
          <w:rFonts w:hint="eastAsia"/>
          <w:color w:val="auto"/>
          <w:highlight w:val="none"/>
        </w:rPr>
        <w:t>履约保证金</w:t>
      </w:r>
      <w:bookmarkEnd w:id="711"/>
      <w:r>
        <w:rPr>
          <w:rFonts w:hint="eastAsia"/>
          <w:color w:val="auto"/>
          <w:highlight w:val="none"/>
          <w:lang w:val="en-US" w:eastAsia="zh-CN"/>
        </w:rPr>
        <w:t>(实质性要求)</w:t>
      </w:r>
      <w:bookmarkEnd w:id="712"/>
      <w:bookmarkEnd w:id="713"/>
      <w:bookmarkEnd w:id="714"/>
      <w:bookmarkEnd w:id="715"/>
    </w:p>
    <w:p>
      <w:pPr>
        <w:pStyle w:val="28"/>
        <w:numPr>
          <w:ilvl w:val="3"/>
          <w:numId w:val="0"/>
        </w:numPr>
        <w:bidi w:val="0"/>
        <w:ind w:leftChars="200"/>
        <w:rPr>
          <w:rFonts w:hint="eastAsia"/>
          <w:color w:val="auto"/>
          <w:highlight w:val="none"/>
        </w:rPr>
      </w:pPr>
      <w:r>
        <w:rPr>
          <w:rFonts w:hint="eastAsia"/>
          <w:color w:val="auto"/>
          <w:highlight w:val="none"/>
          <w:lang w:val="en-US" w:eastAsia="zh-CN"/>
        </w:rPr>
        <w:t>详见第六章</w:t>
      </w:r>
      <w:r>
        <w:rPr>
          <w:rFonts w:hint="eastAsia"/>
          <w:color w:val="auto"/>
          <w:highlight w:val="none"/>
        </w:rPr>
        <w:t>。</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Pr>
        <w:pStyle w:val="27"/>
        <w:numPr>
          <w:ilvl w:val="2"/>
          <w:numId w:val="16"/>
        </w:numPr>
        <w:bidi w:val="0"/>
        <w:rPr>
          <w:rFonts w:hint="eastAsia"/>
          <w:color w:val="auto"/>
          <w:highlight w:val="none"/>
        </w:rPr>
      </w:pPr>
      <w:bookmarkStart w:id="733" w:name="_Toc13194"/>
      <w:bookmarkStart w:id="734" w:name="_Toc29503"/>
      <w:bookmarkStart w:id="735" w:name="_Toc15310"/>
      <w:bookmarkStart w:id="736" w:name="_Toc22776"/>
      <w:bookmarkStart w:id="737" w:name="_Toc327196296"/>
      <w:bookmarkStart w:id="738" w:name="_Toc27872"/>
      <w:bookmarkStart w:id="739" w:name="_Toc308084607"/>
      <w:bookmarkStart w:id="740" w:name="_Toc217446070"/>
      <w:bookmarkStart w:id="741" w:name="_Toc309897525"/>
      <w:bookmarkStart w:id="742" w:name="_Toc5754"/>
      <w:bookmarkStart w:id="743" w:name="_Toc307501119"/>
      <w:bookmarkStart w:id="744" w:name="_Toc319439910"/>
      <w:bookmarkStart w:id="745" w:name="_Toc9815"/>
      <w:bookmarkStart w:id="746" w:name="_Toc308188162"/>
      <w:bookmarkStart w:id="747" w:name="_Toc27114"/>
      <w:bookmarkStart w:id="748" w:name="_Toc18547"/>
      <w:bookmarkStart w:id="749" w:name="_Toc307564862"/>
      <w:bookmarkStart w:id="750" w:name="_Toc17018"/>
      <w:bookmarkStart w:id="751" w:name="_Toc319440152"/>
      <w:bookmarkStart w:id="752" w:name="_Toc9916"/>
      <w:bookmarkStart w:id="753" w:name="_Toc15219"/>
      <w:r>
        <w:rPr>
          <w:rFonts w:hint="eastAsia"/>
          <w:color w:val="auto"/>
          <w:highlight w:val="none"/>
        </w:rPr>
        <w:t>履行合同</w:t>
      </w:r>
      <w:bookmarkEnd w:id="733"/>
      <w:bookmarkEnd w:id="734"/>
      <w:bookmarkEnd w:id="735"/>
      <w:bookmarkEnd w:id="736"/>
    </w:p>
    <w:p>
      <w:pPr>
        <w:pStyle w:val="28"/>
        <w:bidi w:val="0"/>
        <w:rPr>
          <w:color w:val="auto"/>
          <w:highlight w:val="none"/>
        </w:rPr>
      </w:pPr>
      <w:bookmarkStart w:id="754" w:name="_Toc31"/>
      <w:bookmarkStart w:id="755" w:name="_Toc12435"/>
      <w:r>
        <w:rPr>
          <w:rFonts w:hint="eastAsia"/>
          <w:color w:val="auto"/>
          <w:highlight w:val="none"/>
        </w:rPr>
        <w:t>采购人与中标人应当根据合同的约定依法履行合同义务。</w:t>
      </w:r>
    </w:p>
    <w:p>
      <w:pPr>
        <w:pStyle w:val="28"/>
        <w:bidi w:val="0"/>
        <w:rPr>
          <w:rFonts w:hint="eastAsia"/>
          <w:color w:val="auto"/>
          <w:highlight w:val="none"/>
          <w:lang w:eastAsia="zh-CN"/>
        </w:rPr>
      </w:pPr>
      <w:r>
        <w:rPr>
          <w:rFonts w:hint="eastAsia"/>
          <w:color w:val="auto"/>
          <w:highlight w:val="none"/>
        </w:rPr>
        <w:t>政府采购合同的履行、违约责任和解决争议的方法等适用</w:t>
      </w:r>
      <w:r>
        <w:rPr>
          <w:rFonts w:hint="eastAsia"/>
          <w:color w:val="auto"/>
          <w:highlight w:val="none"/>
          <w:lang w:eastAsia="zh-CN"/>
        </w:rPr>
        <w:t>《中华人民共和国民法典》。</w:t>
      </w:r>
    </w:p>
    <w:p>
      <w:pPr>
        <w:pStyle w:val="27"/>
        <w:numPr>
          <w:ilvl w:val="2"/>
          <w:numId w:val="16"/>
        </w:numPr>
        <w:bidi w:val="0"/>
        <w:rPr>
          <w:rFonts w:hint="eastAsia"/>
          <w:color w:val="auto"/>
          <w:highlight w:val="none"/>
        </w:rPr>
      </w:pPr>
      <w:bookmarkStart w:id="756" w:name="_Toc2567"/>
      <w:bookmarkStart w:id="757" w:name="_Toc22276"/>
      <w:r>
        <w:rPr>
          <w:rFonts w:hint="eastAsia"/>
          <w:color w:val="auto"/>
          <w:highlight w:val="none"/>
        </w:rPr>
        <w:t>验收</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28"/>
        <w:numPr>
          <w:ilvl w:val="3"/>
          <w:numId w:val="0"/>
        </w:numPr>
        <w:bidi w:val="0"/>
        <w:ind w:leftChars="200"/>
        <w:rPr>
          <w:rFonts w:hint="eastAsia"/>
          <w:color w:val="auto"/>
          <w:highlight w:val="none"/>
        </w:rPr>
      </w:pPr>
      <w:bookmarkStart w:id="758" w:name="_Toc217446071"/>
      <w:r>
        <w:rPr>
          <w:rFonts w:hint="eastAsia"/>
          <w:color w:val="auto"/>
          <w:highlight w:val="none"/>
          <w:lang w:val="en-US" w:eastAsia="zh-CN"/>
        </w:rPr>
        <w:t>详见第八章</w:t>
      </w:r>
      <w:r>
        <w:rPr>
          <w:rFonts w:hint="eastAsia"/>
          <w:color w:val="auto"/>
          <w:highlight w:val="none"/>
        </w:rPr>
        <w:t>。</w:t>
      </w:r>
    </w:p>
    <w:bookmarkEnd w:id="638"/>
    <w:bookmarkEnd w:id="639"/>
    <w:bookmarkEnd w:id="758"/>
    <w:p>
      <w:pPr>
        <w:pStyle w:val="27"/>
        <w:numPr>
          <w:ilvl w:val="2"/>
          <w:numId w:val="16"/>
        </w:numPr>
        <w:bidi w:val="0"/>
        <w:rPr>
          <w:rFonts w:hint="eastAsia"/>
          <w:color w:val="auto"/>
          <w:highlight w:val="none"/>
        </w:rPr>
      </w:pPr>
      <w:bookmarkStart w:id="759" w:name="_Toc308164818"/>
      <w:bookmarkStart w:id="760" w:name="_Toc3266"/>
      <w:bookmarkStart w:id="761" w:name="_Toc17896"/>
      <w:bookmarkStart w:id="762" w:name="_Toc16716"/>
      <w:bookmarkStart w:id="763" w:name="_Toc10441"/>
      <w:bookmarkStart w:id="764" w:name="_Toc327196297"/>
      <w:bookmarkStart w:id="765" w:name="_Toc16219"/>
      <w:bookmarkStart w:id="766" w:name="_Toc217446074"/>
      <w:bookmarkStart w:id="767" w:name="_Toc183682380"/>
      <w:bookmarkStart w:id="768" w:name="_Toc183582243"/>
      <w:r>
        <w:rPr>
          <w:rFonts w:hint="eastAsia"/>
          <w:color w:val="auto"/>
          <w:highlight w:val="none"/>
        </w:rPr>
        <w:t>资金支付</w:t>
      </w:r>
      <w:bookmarkEnd w:id="759"/>
      <w:r>
        <w:rPr>
          <w:rFonts w:hint="eastAsia"/>
          <w:color w:val="auto"/>
          <w:highlight w:val="none"/>
          <w:lang w:val="en-US" w:eastAsia="zh-CN"/>
        </w:rPr>
        <w:t>方式、时间、条件</w:t>
      </w:r>
      <w:bookmarkEnd w:id="760"/>
      <w:bookmarkEnd w:id="761"/>
      <w:bookmarkEnd w:id="762"/>
      <w:bookmarkEnd w:id="763"/>
    </w:p>
    <w:p>
      <w:pPr>
        <w:pStyle w:val="28"/>
        <w:numPr>
          <w:ilvl w:val="3"/>
          <w:numId w:val="0"/>
        </w:numPr>
        <w:bidi w:val="0"/>
        <w:ind w:leftChars="200"/>
        <w:rPr>
          <w:rFonts w:hint="eastAsia"/>
          <w:color w:val="auto"/>
          <w:highlight w:val="none"/>
        </w:rPr>
      </w:pPr>
      <w:r>
        <w:rPr>
          <w:rFonts w:hint="eastAsia"/>
          <w:color w:val="auto"/>
          <w:highlight w:val="none"/>
          <w:lang w:val="en-US" w:eastAsia="zh-CN"/>
        </w:rPr>
        <w:t>详见第六章</w:t>
      </w:r>
      <w:r>
        <w:rPr>
          <w:rFonts w:hint="eastAsia"/>
          <w:color w:val="auto"/>
          <w:highlight w:val="none"/>
          <w:lang w:eastAsia="zh-CN"/>
        </w:rPr>
        <w:t>。</w:t>
      </w:r>
    </w:p>
    <w:p>
      <w:pPr>
        <w:pStyle w:val="46"/>
        <w:bidi w:val="0"/>
        <w:rPr>
          <w:rFonts w:hint="eastAsia"/>
          <w:color w:val="auto"/>
          <w:highlight w:val="none"/>
        </w:rPr>
      </w:pPr>
      <w:bookmarkStart w:id="769" w:name="_Toc3955"/>
      <w:bookmarkStart w:id="770" w:name="_Toc1635"/>
      <w:bookmarkStart w:id="771" w:name="_Toc15972"/>
      <w:bookmarkStart w:id="772" w:name="_Toc27770"/>
      <w:r>
        <w:rPr>
          <w:rFonts w:hint="eastAsia"/>
          <w:color w:val="auto"/>
          <w:highlight w:val="none"/>
        </w:rPr>
        <w:t>投标纪律要求</w:t>
      </w:r>
      <w:bookmarkEnd w:id="764"/>
      <w:bookmarkEnd w:id="765"/>
      <w:bookmarkEnd w:id="766"/>
      <w:bookmarkEnd w:id="769"/>
      <w:bookmarkEnd w:id="770"/>
      <w:bookmarkEnd w:id="771"/>
      <w:bookmarkEnd w:id="772"/>
    </w:p>
    <w:p>
      <w:pPr>
        <w:pStyle w:val="29"/>
        <w:bidi w:val="0"/>
        <w:rPr>
          <w:rFonts w:hint="eastAsia" w:eastAsia="宋体"/>
          <w:color w:val="auto"/>
          <w:highlight w:val="none"/>
          <w:lang w:eastAsia="zh-CN"/>
        </w:rPr>
      </w:pPr>
      <w:bookmarkStart w:id="773" w:name="_Toc27399"/>
      <w:bookmarkStart w:id="774" w:name="_Toc17887"/>
      <w:bookmarkStart w:id="775" w:name="_Toc307564864"/>
      <w:bookmarkStart w:id="776" w:name="_Toc319440154"/>
      <w:bookmarkStart w:id="777" w:name="_Toc319439912"/>
      <w:bookmarkStart w:id="778" w:name="_Toc217446075"/>
      <w:bookmarkStart w:id="779" w:name="_Toc6284"/>
      <w:bookmarkStart w:id="780" w:name="_Toc308188164"/>
      <w:bookmarkStart w:id="781" w:name="_Toc21018"/>
      <w:bookmarkStart w:id="782" w:name="_Toc10754"/>
      <w:bookmarkStart w:id="783" w:name="_Toc1828"/>
      <w:bookmarkStart w:id="784" w:name="_Toc309897527"/>
      <w:bookmarkStart w:id="785" w:name="_Toc5014"/>
      <w:bookmarkStart w:id="786" w:name="_Toc11074"/>
      <w:bookmarkStart w:id="787" w:name="_Toc30964"/>
      <w:bookmarkStart w:id="788" w:name="_Toc307501121"/>
      <w:bookmarkStart w:id="789" w:name="_Toc20490"/>
      <w:bookmarkStart w:id="790" w:name="_Toc327196298"/>
      <w:bookmarkStart w:id="791" w:name="_Toc308084609"/>
      <w:bookmarkStart w:id="792" w:name="_Toc31498"/>
      <w:r>
        <w:rPr>
          <w:rFonts w:hint="eastAsia"/>
          <w:color w:val="auto"/>
          <w:highlight w:val="none"/>
        </w:rPr>
        <w:t>投标人不得具有的情形</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hint="eastAsia"/>
          <w:color w:val="auto"/>
          <w:highlight w:val="none"/>
          <w:lang w:eastAsia="zh-CN"/>
        </w:rPr>
        <w:t>：</w:t>
      </w:r>
    </w:p>
    <w:p>
      <w:pPr>
        <w:pStyle w:val="37"/>
        <w:numPr>
          <w:ilvl w:val="1"/>
          <w:numId w:val="17"/>
        </w:numPr>
        <w:bidi w:val="0"/>
        <w:rPr>
          <w:rFonts w:hint="eastAsia"/>
          <w:color w:val="auto"/>
          <w:highlight w:val="none"/>
        </w:rPr>
      </w:pPr>
      <w:r>
        <w:rPr>
          <w:rFonts w:hint="eastAsia"/>
          <w:color w:val="auto"/>
          <w:highlight w:val="none"/>
        </w:rPr>
        <w:t>提供虚假材料谋取中标；</w:t>
      </w:r>
    </w:p>
    <w:p>
      <w:pPr>
        <w:pStyle w:val="37"/>
        <w:numPr>
          <w:ilvl w:val="1"/>
          <w:numId w:val="17"/>
        </w:numPr>
        <w:bidi w:val="0"/>
        <w:rPr>
          <w:rFonts w:hint="eastAsia"/>
          <w:color w:val="auto"/>
          <w:highlight w:val="none"/>
        </w:rPr>
      </w:pPr>
      <w:r>
        <w:rPr>
          <w:rFonts w:hint="eastAsia"/>
          <w:color w:val="auto"/>
          <w:highlight w:val="none"/>
        </w:rPr>
        <w:t>采取不正当手段诋毁、排挤其他投标人；</w:t>
      </w:r>
    </w:p>
    <w:p>
      <w:pPr>
        <w:pStyle w:val="37"/>
        <w:numPr>
          <w:ilvl w:val="1"/>
          <w:numId w:val="17"/>
        </w:numPr>
        <w:bidi w:val="0"/>
        <w:rPr>
          <w:rFonts w:hint="eastAsia"/>
          <w:color w:val="auto"/>
          <w:highlight w:val="none"/>
        </w:rPr>
      </w:pPr>
      <w:r>
        <w:rPr>
          <w:rFonts w:hint="eastAsia"/>
          <w:color w:val="auto"/>
          <w:highlight w:val="none"/>
        </w:rPr>
        <w:t>与招标采购单位、其他投标人恶意串通；</w:t>
      </w:r>
    </w:p>
    <w:p>
      <w:pPr>
        <w:pStyle w:val="37"/>
        <w:numPr>
          <w:ilvl w:val="1"/>
          <w:numId w:val="17"/>
        </w:numPr>
        <w:bidi w:val="0"/>
        <w:rPr>
          <w:rFonts w:hint="eastAsia"/>
          <w:color w:val="auto"/>
          <w:highlight w:val="none"/>
        </w:rPr>
      </w:pPr>
      <w:r>
        <w:rPr>
          <w:rFonts w:hint="eastAsia"/>
          <w:color w:val="auto"/>
          <w:highlight w:val="none"/>
        </w:rPr>
        <w:t>向招标采购单位、评标委员会成员行贿或者提供其他不正当利益；</w:t>
      </w:r>
    </w:p>
    <w:p>
      <w:pPr>
        <w:pStyle w:val="37"/>
        <w:numPr>
          <w:ilvl w:val="1"/>
          <w:numId w:val="17"/>
        </w:numPr>
        <w:bidi w:val="0"/>
        <w:rPr>
          <w:rFonts w:hint="eastAsia"/>
          <w:color w:val="auto"/>
          <w:highlight w:val="none"/>
        </w:rPr>
      </w:pPr>
      <w:r>
        <w:rPr>
          <w:rFonts w:hint="eastAsia"/>
          <w:color w:val="auto"/>
          <w:highlight w:val="none"/>
        </w:rPr>
        <w:t>在招标过程中与招标采购单位进行协商谈判；</w:t>
      </w:r>
    </w:p>
    <w:p>
      <w:pPr>
        <w:pStyle w:val="37"/>
        <w:numPr>
          <w:ilvl w:val="1"/>
          <w:numId w:val="17"/>
        </w:numPr>
        <w:bidi w:val="0"/>
        <w:rPr>
          <w:rFonts w:hint="eastAsia"/>
          <w:color w:val="auto"/>
          <w:highlight w:val="none"/>
        </w:rPr>
      </w:pPr>
      <w:r>
        <w:rPr>
          <w:rFonts w:hint="eastAsia"/>
          <w:color w:val="auto"/>
          <w:highlight w:val="none"/>
        </w:rPr>
        <w:t>中标或者成交后无正当理由拒不与采购人签订政府采购合同；</w:t>
      </w:r>
    </w:p>
    <w:p>
      <w:pPr>
        <w:pStyle w:val="37"/>
        <w:numPr>
          <w:ilvl w:val="1"/>
          <w:numId w:val="17"/>
        </w:numPr>
        <w:bidi w:val="0"/>
        <w:rPr>
          <w:rFonts w:hint="eastAsia"/>
          <w:color w:val="auto"/>
          <w:highlight w:val="none"/>
        </w:rPr>
      </w:pPr>
      <w:r>
        <w:rPr>
          <w:rFonts w:hint="eastAsia"/>
          <w:color w:val="auto"/>
          <w:highlight w:val="none"/>
        </w:rPr>
        <w:t>未按照采购文件确定的事项签订政府采购合同；</w:t>
      </w:r>
    </w:p>
    <w:p>
      <w:pPr>
        <w:pStyle w:val="37"/>
        <w:numPr>
          <w:ilvl w:val="1"/>
          <w:numId w:val="17"/>
        </w:numPr>
        <w:bidi w:val="0"/>
        <w:rPr>
          <w:rFonts w:hint="eastAsia"/>
          <w:color w:val="auto"/>
          <w:highlight w:val="none"/>
        </w:rPr>
      </w:pPr>
      <w:r>
        <w:rPr>
          <w:rFonts w:hint="eastAsia"/>
          <w:color w:val="auto"/>
          <w:highlight w:val="none"/>
        </w:rPr>
        <w:t>将政府采购合同转包或者违规分包；</w:t>
      </w:r>
    </w:p>
    <w:p>
      <w:pPr>
        <w:pStyle w:val="37"/>
        <w:numPr>
          <w:ilvl w:val="1"/>
          <w:numId w:val="17"/>
        </w:numPr>
        <w:bidi w:val="0"/>
        <w:rPr>
          <w:rFonts w:hint="eastAsia"/>
          <w:color w:val="auto"/>
          <w:highlight w:val="none"/>
        </w:rPr>
      </w:pPr>
      <w:r>
        <w:rPr>
          <w:rFonts w:hint="eastAsia"/>
          <w:color w:val="auto"/>
          <w:highlight w:val="none"/>
        </w:rPr>
        <w:t>提供假冒伪劣产品；</w:t>
      </w:r>
    </w:p>
    <w:p>
      <w:pPr>
        <w:pStyle w:val="37"/>
        <w:numPr>
          <w:ilvl w:val="1"/>
          <w:numId w:val="17"/>
        </w:numPr>
        <w:bidi w:val="0"/>
        <w:rPr>
          <w:rFonts w:hint="eastAsia"/>
          <w:color w:val="auto"/>
          <w:highlight w:val="none"/>
        </w:rPr>
      </w:pPr>
      <w:r>
        <w:rPr>
          <w:rFonts w:hint="eastAsia"/>
          <w:color w:val="auto"/>
          <w:highlight w:val="none"/>
        </w:rPr>
        <w:t>擅自变更、中止或者终止政府采购合同；</w:t>
      </w:r>
    </w:p>
    <w:p>
      <w:pPr>
        <w:pStyle w:val="37"/>
        <w:numPr>
          <w:ilvl w:val="1"/>
          <w:numId w:val="17"/>
        </w:numPr>
        <w:bidi w:val="0"/>
        <w:rPr>
          <w:rFonts w:hint="eastAsia"/>
          <w:color w:val="auto"/>
          <w:highlight w:val="none"/>
        </w:rPr>
      </w:pPr>
      <w:r>
        <w:rPr>
          <w:rFonts w:hint="eastAsia"/>
          <w:color w:val="auto"/>
          <w:highlight w:val="none"/>
        </w:rPr>
        <w:t>拒绝有关部门的监督检查或者向监督检查部门提供虚假情况；</w:t>
      </w:r>
    </w:p>
    <w:p>
      <w:pPr>
        <w:pStyle w:val="37"/>
        <w:numPr>
          <w:ilvl w:val="1"/>
          <w:numId w:val="17"/>
        </w:numPr>
        <w:bidi w:val="0"/>
        <w:rPr>
          <w:rFonts w:hint="eastAsia"/>
          <w:color w:val="auto"/>
          <w:highlight w:val="none"/>
        </w:rPr>
      </w:pPr>
      <w:r>
        <w:rPr>
          <w:rFonts w:hint="eastAsia"/>
          <w:color w:val="auto"/>
          <w:highlight w:val="none"/>
        </w:rPr>
        <w:t>法律法规规定的其他情形。</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93" w:name="_Toc8765"/>
      <w:bookmarkStart w:id="794" w:name="_Toc525"/>
      <w:bookmarkStart w:id="795" w:name="_Toc20327"/>
      <w:bookmarkStart w:id="796" w:name="_Toc217446078"/>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793"/>
    <w:bookmarkEnd w:id="794"/>
    <w:bookmarkEnd w:id="795"/>
    <w:p>
      <w:pPr>
        <w:pStyle w:val="46"/>
        <w:bidi w:val="0"/>
        <w:rPr>
          <w:rFonts w:hint="eastAsia"/>
          <w:color w:val="auto"/>
          <w:highlight w:val="none"/>
        </w:rPr>
      </w:pPr>
      <w:bookmarkStart w:id="797" w:name="_Toc4325"/>
      <w:r>
        <w:rPr>
          <w:rFonts w:hint="eastAsia"/>
          <w:color w:val="auto"/>
          <w:highlight w:val="none"/>
          <w:lang w:val="en-US" w:eastAsia="zh-CN"/>
        </w:rPr>
        <w:t>其他</w:t>
      </w:r>
      <w:bookmarkEnd w:id="797"/>
    </w:p>
    <w:p>
      <w:pPr>
        <w:pStyle w:val="27"/>
        <w:numPr>
          <w:ilvl w:val="2"/>
          <w:numId w:val="18"/>
        </w:numPr>
        <w:bidi w:val="0"/>
        <w:rPr>
          <w:rFonts w:hint="eastAsia"/>
          <w:color w:val="auto"/>
          <w:highlight w:val="none"/>
        </w:rPr>
      </w:pPr>
      <w:bookmarkStart w:id="798" w:name="_Toc12421"/>
      <w:bookmarkStart w:id="799" w:name="_Toc1652"/>
      <w:bookmarkStart w:id="800" w:name="_Toc414"/>
      <w:bookmarkStart w:id="801" w:name="_Toc24434"/>
      <w:bookmarkStart w:id="802" w:name="_Toc24165"/>
      <w:bookmarkStart w:id="803" w:name="_Toc21660"/>
      <w:bookmarkStart w:id="804" w:name="_Toc327196301"/>
      <w:bookmarkStart w:id="805" w:name="_Toc21424"/>
      <w:r>
        <w:rPr>
          <w:rFonts w:hint="eastAsia"/>
          <w:color w:val="auto"/>
          <w:highlight w:val="none"/>
        </w:rPr>
        <w:t>询问</w:t>
      </w:r>
      <w:bookmarkEnd w:id="798"/>
      <w:bookmarkEnd w:id="799"/>
      <w:bookmarkEnd w:id="800"/>
      <w:bookmarkEnd w:id="801"/>
      <w:bookmarkEnd w:id="802"/>
      <w:r>
        <w:rPr>
          <w:rFonts w:hint="eastAsia"/>
          <w:color w:val="auto"/>
          <w:highlight w:val="none"/>
          <w:lang w:eastAsia="zh-CN"/>
        </w:rPr>
        <w:t>、</w:t>
      </w:r>
      <w:r>
        <w:rPr>
          <w:rFonts w:hint="eastAsia"/>
          <w:color w:val="auto"/>
          <w:highlight w:val="none"/>
          <w:lang w:val="en-US" w:eastAsia="zh-CN"/>
        </w:rPr>
        <w:t>质疑和投诉</w:t>
      </w:r>
      <w:bookmarkEnd w:id="803"/>
    </w:p>
    <w:bookmarkEnd w:id="767"/>
    <w:bookmarkEnd w:id="768"/>
    <w:bookmarkEnd w:id="796"/>
    <w:bookmarkEnd w:id="804"/>
    <w:bookmarkEnd w:id="805"/>
    <w:p>
      <w:pPr>
        <w:pStyle w:val="29"/>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27"/>
        <w:numPr>
          <w:ilvl w:val="2"/>
          <w:numId w:val="18"/>
        </w:numPr>
        <w:bidi w:val="0"/>
        <w:rPr>
          <w:rFonts w:hint="eastAsia"/>
          <w:color w:val="auto"/>
          <w:highlight w:val="none"/>
        </w:rPr>
      </w:pPr>
      <w:bookmarkStart w:id="806" w:name="_Toc8852"/>
      <w:bookmarkStart w:id="807" w:name="_Toc22454"/>
      <w:bookmarkStart w:id="808" w:name="_Toc27417"/>
      <w:bookmarkStart w:id="809" w:name="_Toc14389"/>
      <w:r>
        <w:rPr>
          <w:rFonts w:hint="eastAsia"/>
          <w:color w:val="auto"/>
          <w:highlight w:val="none"/>
        </w:rPr>
        <w:t>关于行贿犯罪档案查询工作的规定</w:t>
      </w:r>
      <w:bookmarkEnd w:id="806"/>
      <w:bookmarkEnd w:id="807"/>
      <w:bookmarkEnd w:id="808"/>
      <w:bookmarkEnd w:id="809"/>
    </w:p>
    <w:p>
      <w:pPr>
        <w:pStyle w:val="29"/>
        <w:bidi w:val="0"/>
        <w:rPr>
          <w:rFonts w:hint="eastAsia"/>
          <w:color w:val="auto"/>
          <w:highlight w:val="none"/>
          <w:lang w:val="en-US"/>
        </w:rPr>
      </w:pPr>
      <w:bookmarkStart w:id="810" w:name="_Toc25217"/>
      <w:bookmarkStart w:id="811" w:name="_Toc24870"/>
      <w:bookmarkStart w:id="812" w:name="_Toc5589"/>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27"/>
        <w:numPr>
          <w:ilvl w:val="2"/>
          <w:numId w:val="18"/>
        </w:numPr>
        <w:bidi w:val="0"/>
        <w:rPr>
          <w:rFonts w:hint="eastAsia"/>
          <w:color w:val="auto"/>
          <w:highlight w:val="none"/>
          <w:lang w:val="en-US" w:eastAsia="zh-CN"/>
        </w:rPr>
      </w:pPr>
      <w:bookmarkStart w:id="813" w:name="_Toc14303"/>
      <w:r>
        <w:rPr>
          <w:rFonts w:hint="eastAsia"/>
          <w:color w:val="auto"/>
          <w:highlight w:val="none"/>
          <w:lang w:val="en-US" w:eastAsia="zh-CN"/>
        </w:rPr>
        <w:t>串通投标的情形</w:t>
      </w:r>
      <w:bookmarkEnd w:id="810"/>
      <w:bookmarkEnd w:id="811"/>
      <w:bookmarkEnd w:id="813"/>
    </w:p>
    <w:p>
      <w:pPr>
        <w:pStyle w:val="29"/>
        <w:bidi w:val="0"/>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29"/>
        <w:bidi w:val="0"/>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29"/>
        <w:bidi w:val="0"/>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29"/>
        <w:bidi w:val="0"/>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29"/>
        <w:bidi w:val="0"/>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29"/>
        <w:bidi w:val="0"/>
        <w:rPr>
          <w:rFonts w:hint="eastAsia" w:eastAsia="宋体"/>
          <w:color w:val="auto"/>
          <w:highlight w:val="none"/>
          <w:lang w:eastAsia="zh-CN"/>
        </w:rPr>
      </w:pPr>
      <w:r>
        <w:rPr>
          <w:rFonts w:hint="eastAsia"/>
          <w:color w:val="auto"/>
          <w:highlight w:val="none"/>
          <w:lang w:val="en-US" w:eastAsia="zh-CN"/>
        </w:rPr>
        <w:t>5.</w:t>
      </w:r>
      <w:r>
        <w:rPr>
          <w:rFonts w:hint="eastAsia"/>
          <w:color w:val="auto"/>
          <w:highlight w:val="none"/>
        </w:rPr>
        <w:t>不同投标人的投标文件相互混装</w:t>
      </w:r>
      <w:r>
        <w:rPr>
          <w:rFonts w:hint="eastAsia"/>
          <w:color w:val="auto"/>
          <w:highlight w:val="none"/>
          <w:lang w:eastAsia="zh-CN"/>
        </w:rPr>
        <w:t>。</w:t>
      </w:r>
    </w:p>
    <w:p>
      <w:pPr>
        <w:pStyle w:val="27"/>
        <w:numPr>
          <w:ilvl w:val="2"/>
          <w:numId w:val="18"/>
        </w:numPr>
        <w:bidi w:val="0"/>
        <w:rPr>
          <w:rFonts w:hint="eastAsia"/>
          <w:color w:val="auto"/>
          <w:highlight w:val="none"/>
          <w:lang w:val="en-US" w:eastAsia="zh-CN"/>
        </w:rPr>
      </w:pPr>
      <w:bookmarkStart w:id="814" w:name="_Toc22192"/>
      <w:bookmarkStart w:id="815" w:name="_Toc32334"/>
      <w:bookmarkStart w:id="816" w:name="_Toc10983"/>
      <w:bookmarkStart w:id="817" w:name="_Toc21870"/>
      <w:bookmarkStart w:id="818" w:name="_Toc17038"/>
      <w:r>
        <w:rPr>
          <w:rFonts w:hint="eastAsia"/>
          <w:color w:val="auto"/>
          <w:highlight w:val="none"/>
          <w:lang w:val="en-US" w:eastAsia="zh-CN"/>
        </w:rPr>
        <w:t>投标人信用信息查询</w:t>
      </w:r>
      <w:bookmarkEnd w:id="814"/>
      <w:bookmarkEnd w:id="815"/>
      <w:bookmarkEnd w:id="816"/>
      <w:bookmarkEnd w:id="817"/>
      <w:bookmarkEnd w:id="818"/>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29"/>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7"/>
        <w:keepNext w:val="0"/>
        <w:keepLines w:val="0"/>
        <w:pageBreakBefore w:val="0"/>
        <w:widowControl w:val="0"/>
        <w:numPr>
          <w:ilvl w:val="0"/>
          <w:numId w:val="19"/>
        </w:numPr>
        <w:tabs>
          <w:tab w:val="clear" w:pos="312"/>
        </w:tabs>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rPr>
        <w:t>凡被列入失信被执行人、重大税收违法案件当事人名单、政府采购严重违法失信行为记录名单的，视为存在不良信用记录，参与本项目的将被拒绝</w:t>
      </w:r>
      <w:r>
        <w:rPr>
          <w:rFonts w:hint="eastAsia"/>
          <w:color w:val="auto"/>
          <w:highlight w:val="none"/>
          <w:lang w:val="en-US" w:eastAsia="zh-CN"/>
        </w:rPr>
        <w:t>。</w:t>
      </w:r>
    </w:p>
    <w:p>
      <w:pPr>
        <w:pStyle w:val="27"/>
        <w:numPr>
          <w:ilvl w:val="2"/>
          <w:numId w:val="18"/>
        </w:numPr>
        <w:bidi w:val="0"/>
        <w:rPr>
          <w:rFonts w:hint="eastAsia"/>
          <w:color w:val="auto"/>
          <w:highlight w:val="none"/>
          <w:lang w:val="en-US" w:eastAsia="zh-CN"/>
        </w:rPr>
      </w:pPr>
      <w:bookmarkStart w:id="819" w:name="_Toc5438"/>
      <w:bookmarkStart w:id="820" w:name="_Toc4939"/>
      <w:r>
        <w:rPr>
          <w:rFonts w:hint="eastAsia"/>
          <w:color w:val="auto"/>
          <w:highlight w:val="none"/>
          <w:lang w:val="en-US" w:eastAsia="zh-CN"/>
        </w:rPr>
        <w:t>保密</w:t>
      </w:r>
      <w:bookmarkEnd w:id="819"/>
      <w:bookmarkEnd w:id="820"/>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有关投标文件的审查、澄清、评估和比较以及合同授予意向等情况</w:t>
      </w:r>
      <w:r>
        <w:rPr>
          <w:rFonts w:hint="eastAsia" w:cstheme="minorBidi"/>
          <w:color w:val="auto"/>
          <w:kern w:val="2"/>
          <w:sz w:val="24"/>
          <w:szCs w:val="24"/>
          <w:highlight w:val="none"/>
          <w:lang w:val="en-US" w:eastAsia="zh-CN" w:bidi="ar-SA"/>
        </w:rPr>
        <w:t>均</w:t>
      </w:r>
      <w:r>
        <w:rPr>
          <w:rFonts w:hint="eastAsia" w:ascii="宋体" w:hAnsi="宋体" w:eastAsia="宋体" w:cstheme="minorBidi"/>
          <w:color w:val="auto"/>
          <w:kern w:val="2"/>
          <w:sz w:val="24"/>
          <w:szCs w:val="24"/>
          <w:highlight w:val="none"/>
          <w:lang w:val="en-US" w:eastAsia="zh-CN" w:bidi="ar-SA"/>
        </w:rPr>
        <w:t>不得对外透露。</w:t>
      </w:r>
    </w:p>
    <w:p>
      <w:pPr>
        <w:pStyle w:val="27"/>
        <w:numPr>
          <w:ilvl w:val="2"/>
          <w:numId w:val="18"/>
        </w:numPr>
        <w:bidi w:val="0"/>
        <w:rPr>
          <w:rFonts w:hint="eastAsia"/>
          <w:color w:val="auto"/>
          <w:highlight w:val="none"/>
          <w:lang w:val="en-US" w:eastAsia="zh-CN"/>
        </w:rPr>
      </w:pPr>
      <w:bookmarkStart w:id="821" w:name="_Toc4492"/>
      <w:bookmarkStart w:id="822" w:name="_Toc9400"/>
      <w:r>
        <w:rPr>
          <w:rFonts w:hint="eastAsia"/>
          <w:color w:val="auto"/>
          <w:highlight w:val="none"/>
          <w:lang w:val="en-US" w:eastAsia="zh-CN"/>
        </w:rPr>
        <w:t>回避</w:t>
      </w:r>
      <w:bookmarkEnd w:id="821"/>
      <w:bookmarkEnd w:id="822"/>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在政府采购活动中，采购人员及相关人员与供应商有下列利害关系之一的，应当回避：</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1.参加采购活动前3年内与供应商存在劳动关系；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2.参加采购活动前3年内担任供应商的董事、监事；</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3.参加采购活动前3年内是供应商的控股股东或者实际控制人；</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4.与供应商的法定代表人或者负责人有夫妻、直系血亲、三代以内旁系血亲或者近姻亲关系；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5.与供应商有其他可能影响政府采购活动公平、公正进行的关系。</w:t>
      </w:r>
    </w:p>
    <w:p>
      <w:pPr>
        <w:pStyle w:val="9"/>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7"/>
        <w:numPr>
          <w:ilvl w:val="2"/>
          <w:numId w:val="18"/>
        </w:numPr>
        <w:bidi w:val="0"/>
        <w:rPr>
          <w:rFonts w:hint="eastAsia"/>
          <w:color w:val="auto"/>
          <w:highlight w:val="none"/>
          <w:lang w:val="en-US" w:eastAsia="zh-CN"/>
        </w:rPr>
      </w:pPr>
      <w:bookmarkStart w:id="823" w:name="_Toc15601"/>
      <w:r>
        <w:rPr>
          <w:rFonts w:hint="eastAsia"/>
          <w:color w:val="auto"/>
          <w:highlight w:val="none"/>
          <w:lang w:val="en-US" w:eastAsia="zh-CN"/>
        </w:rPr>
        <w:t>解释说明</w:t>
      </w:r>
      <w:bookmarkEnd w:id="823"/>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国家或行业主管部门对供应商和采购产品的技术标准、质量标准和资格资质条件等有强制性规定的，必须符合其要求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spacing w:line="420" w:lineRule="exact"/>
        <w:ind w:leftChars="0" w:firstLine="480" w:firstLineChars="200"/>
        <w:textAlignment w:val="auto"/>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本项目涉及企业资质、产品认证、人员执业资格等描述与国家最新要求不一致时以最新要求为准。</w:t>
      </w:r>
    </w:p>
    <w:p>
      <w:pPr>
        <w:pStyle w:val="25"/>
        <w:numPr>
          <w:ilvl w:val="0"/>
          <w:numId w:val="12"/>
        </w:numPr>
        <w:bidi w:val="0"/>
        <w:rPr>
          <w:rFonts w:hint="eastAsia"/>
          <w:color w:val="auto"/>
          <w:highlight w:val="none"/>
        </w:rPr>
      </w:pPr>
      <w:r>
        <w:rPr>
          <w:rFonts w:hint="eastAsia"/>
          <w:color w:val="auto"/>
          <w:highlight w:val="none"/>
        </w:rPr>
        <w:br w:type="page"/>
      </w:r>
      <w:bookmarkEnd w:id="812"/>
      <w:bookmarkStart w:id="824" w:name="_Toc7990"/>
      <w:bookmarkStart w:id="825" w:name="_Toc29575"/>
      <w:bookmarkStart w:id="826" w:name="_Toc31402"/>
      <w:bookmarkStart w:id="827" w:name="_Toc4206"/>
      <w:bookmarkStart w:id="828" w:name="_Toc25961"/>
      <w:r>
        <w:rPr>
          <w:rFonts w:hint="eastAsia"/>
          <w:color w:val="auto"/>
          <w:highlight w:val="none"/>
        </w:rPr>
        <w:t>投标文件格式</w:t>
      </w:r>
      <w:bookmarkEnd w:id="824"/>
      <w:bookmarkEnd w:id="825"/>
      <w:bookmarkEnd w:id="826"/>
      <w:bookmarkEnd w:id="827"/>
      <w:bookmarkEnd w:id="828"/>
    </w:p>
    <w:p>
      <w:pPr>
        <w:pStyle w:val="50"/>
        <w:bidi w:val="0"/>
        <w:rPr>
          <w:rFonts w:hint="eastAsia"/>
          <w:color w:val="auto"/>
          <w:highlight w:val="none"/>
        </w:rPr>
      </w:pPr>
      <w:bookmarkStart w:id="829" w:name="_Toc211218954"/>
      <w:bookmarkStart w:id="830" w:name="_Toc294701519"/>
      <w:bookmarkStart w:id="831" w:name="_Toc287367101"/>
      <w:bookmarkStart w:id="832" w:name="_Toc182629023"/>
      <w:bookmarkStart w:id="833" w:name="_Toc439161746"/>
      <w:bookmarkStart w:id="834" w:name="_Toc316462354"/>
      <w:bookmarkStart w:id="835" w:name="_Toc182759327"/>
      <w:bookmarkStart w:id="836" w:name="_Toc295978802"/>
      <w:bookmarkStart w:id="837" w:name="_Toc16460"/>
      <w:bookmarkStart w:id="838" w:name="_Toc294688711"/>
      <w:r>
        <w:rPr>
          <w:rFonts w:hint="eastAsia"/>
          <w:color w:val="auto"/>
          <w:highlight w:val="none"/>
        </w:rPr>
        <w:t>一、本章所制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0"/>
        <w:bidi w:val="0"/>
        <w:rPr>
          <w:rFonts w:hint="eastAsia"/>
          <w:color w:val="auto"/>
          <w:highlight w:val="none"/>
        </w:rPr>
      </w:pPr>
      <w:r>
        <w:rPr>
          <w:rFonts w:hint="eastAsia"/>
          <w:color w:val="auto"/>
          <w:highlight w:val="none"/>
        </w:rPr>
        <w:t>二、本章所制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0"/>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0"/>
        <w:bidi w:val="0"/>
        <w:rPr>
          <w:rFonts w:hint="eastAsia"/>
          <w:color w:val="auto"/>
          <w:highlight w:val="none"/>
        </w:rPr>
      </w:pPr>
      <w:r>
        <w:rPr>
          <w:rFonts w:hint="eastAsia"/>
          <w:color w:val="auto"/>
          <w:highlight w:val="none"/>
          <w:lang w:val="en-US" w:eastAsia="zh-CN"/>
        </w:rPr>
        <w:t>四</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26"/>
        <w:bidi w:val="0"/>
        <w:rPr>
          <w:rFonts w:hint="eastAsia"/>
          <w:color w:val="auto"/>
          <w:highlight w:val="none"/>
        </w:rPr>
      </w:pPr>
      <w:r>
        <w:rPr>
          <w:rFonts w:hint="eastAsia"/>
          <w:color w:val="auto"/>
          <w:highlight w:val="none"/>
        </w:rPr>
        <w:br w:type="page"/>
      </w:r>
    </w:p>
    <w:p>
      <w:pPr>
        <w:pStyle w:val="38"/>
        <w:bidi w:val="0"/>
        <w:rPr>
          <w:rFonts w:hint="eastAsia"/>
          <w:color w:val="auto"/>
          <w:highlight w:val="none"/>
        </w:rPr>
      </w:pPr>
      <w:r>
        <w:rPr>
          <w:rFonts w:hint="eastAsia"/>
          <w:color w:val="auto"/>
          <w:highlight w:val="none"/>
        </w:rPr>
        <w:t>附件：密封袋的格式</w: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p>
          <w:p>
            <w:pPr>
              <w:pStyle w:val="38"/>
              <w:bidi w:val="0"/>
              <w:rPr>
                <w:rFonts w:hint="eastAsia"/>
                <w:color w:val="auto"/>
                <w:highlight w:val="none"/>
              </w:rPr>
            </w:pPr>
          </w:p>
          <w:p>
            <w:pPr>
              <w:pStyle w:val="38"/>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38"/>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8"/>
              <w:bidi w:val="0"/>
              <w:rPr>
                <w:rFonts w:hint="eastAsia"/>
                <w:color w:val="auto"/>
                <w:highlight w:val="none"/>
              </w:rPr>
            </w:pPr>
          </w:p>
        </w:tc>
      </w:tr>
    </w:tbl>
    <w:p>
      <w:pPr>
        <w:pStyle w:val="38"/>
        <w:bidi w:val="0"/>
        <w:rPr>
          <w:rFonts w:hint="eastAsia"/>
          <w:color w:val="auto"/>
          <w:highlight w:val="none"/>
          <w:lang w:val="en-US" w:eastAsia="zh-CN"/>
        </w:rPr>
      </w:pPr>
      <w:bookmarkStart w:id="839" w:name="_Toc11581"/>
      <w:bookmarkStart w:id="840" w:name="_Toc6994"/>
      <w:r>
        <w:rPr>
          <w:rFonts w:hint="eastAsia"/>
          <w:color w:val="auto"/>
          <w:highlight w:val="none"/>
          <w:lang w:val="en-US" w:eastAsia="zh-CN"/>
        </w:rPr>
        <w:br w:type="page"/>
      </w:r>
    </w:p>
    <w:p>
      <w:pPr>
        <w:pStyle w:val="38"/>
        <w:bidi w:val="0"/>
        <w:rPr>
          <w:rFonts w:hint="eastAsia"/>
          <w:color w:val="auto"/>
          <w:highlight w:val="none"/>
          <w:lang w:val="en-US" w:eastAsia="zh-CN"/>
        </w:rPr>
      </w:pPr>
      <w:r>
        <w:rPr>
          <w:rFonts w:hint="eastAsia"/>
          <w:color w:val="auto"/>
          <w:highlight w:val="none"/>
          <w:lang w:val="en-US" w:eastAsia="zh-CN"/>
        </w:rPr>
        <w:t>投标文件封面格式</w:t>
      </w:r>
      <w:bookmarkEnd w:id="829"/>
      <w:bookmarkEnd w:id="830"/>
      <w:bookmarkEnd w:id="831"/>
      <w:bookmarkEnd w:id="832"/>
      <w:bookmarkEnd w:id="833"/>
      <w:bookmarkEnd w:id="834"/>
      <w:bookmarkEnd w:id="835"/>
      <w:bookmarkEnd w:id="836"/>
      <w:bookmarkEnd w:id="837"/>
      <w:bookmarkEnd w:id="838"/>
      <w:bookmarkEnd w:id="839"/>
      <w:bookmarkEnd w:id="840"/>
    </w:p>
    <w:p>
      <w:pPr>
        <w:pStyle w:val="38"/>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8"/>
        <w:bidi w:val="0"/>
        <w:rPr>
          <w:rFonts w:hint="eastAsia"/>
          <w:color w:val="auto"/>
          <w:highlight w:val="none"/>
        </w:rPr>
      </w:pPr>
    </w:p>
    <w:p>
      <w:pPr>
        <w:pStyle w:val="38"/>
        <w:bidi w:val="0"/>
        <w:rPr>
          <w:rFonts w:hint="eastAsia"/>
          <w:color w:val="auto"/>
          <w:highlight w:val="none"/>
        </w:rPr>
      </w:pP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38"/>
        <w:bidi w:val="0"/>
        <w:rPr>
          <w:rFonts w:hint="eastAsia"/>
          <w:color w:val="auto"/>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6"/>
        <w:bidi w:val="0"/>
        <w:rPr>
          <w:rFonts w:hint="eastAsia"/>
          <w:color w:val="auto"/>
          <w:highlight w:val="none"/>
        </w:rPr>
      </w:pPr>
      <w:bookmarkStart w:id="841" w:name="_Toc5565"/>
      <w:bookmarkStart w:id="842" w:name="_Toc31011"/>
      <w:bookmarkStart w:id="843" w:name="_Toc11556"/>
      <w:bookmarkStart w:id="844" w:name="_Toc5306"/>
      <w:r>
        <w:rPr>
          <w:rFonts w:hint="eastAsia"/>
          <w:color w:val="auto"/>
          <w:highlight w:val="none"/>
        </w:rPr>
        <w:br w:type="page"/>
      </w:r>
    </w:p>
    <w:bookmarkEnd w:id="841"/>
    <w:bookmarkEnd w:id="842"/>
    <w:bookmarkEnd w:id="843"/>
    <w:bookmarkEnd w:id="844"/>
    <w:p>
      <w:pPr>
        <w:pStyle w:val="26"/>
        <w:bidi w:val="0"/>
        <w:rPr>
          <w:rFonts w:hint="eastAsia"/>
          <w:color w:val="auto"/>
          <w:highlight w:val="none"/>
        </w:rPr>
      </w:pPr>
      <w:bookmarkStart w:id="845" w:name="_Toc15611"/>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bookmarkStart w:id="846" w:name="_Toc24630"/>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47" w:name="_Toc1594"/>
      <w:r>
        <w:rPr>
          <w:rFonts w:hint="eastAsia"/>
          <w:color w:val="auto"/>
          <w:sz w:val="32"/>
          <w:szCs w:val="32"/>
          <w:highlight w:val="none"/>
          <w:lang w:val="en-US" w:eastAsia="zh-CN"/>
        </w:rPr>
        <w:t>第一部</w:t>
      </w:r>
      <w:r>
        <w:rPr>
          <w:rFonts w:hint="eastAsia"/>
          <w:color w:val="auto"/>
          <w:sz w:val="32"/>
          <w:szCs w:val="32"/>
          <w:highlight w:val="none"/>
        </w:rPr>
        <w:t>分 资格、资质性及其他类似效力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45"/>
      <w:bookmarkEnd w:id="846"/>
      <w:bookmarkEnd w:id="847"/>
      <w:bookmarkStart w:id="848" w:name="_Toc23537"/>
      <w:bookmarkStart w:id="849" w:name="_Toc16168"/>
    </w:p>
    <w:p>
      <w:pPr>
        <w:pStyle w:val="26"/>
        <w:bidi w:val="0"/>
        <w:rPr>
          <w:rFonts w:hint="eastAsia"/>
          <w:color w:val="auto"/>
          <w:highlight w:val="none"/>
        </w:rPr>
      </w:pPr>
      <w:r>
        <w:rPr>
          <w:rFonts w:hint="eastAsia"/>
          <w:color w:val="auto"/>
          <w:highlight w:val="none"/>
        </w:rPr>
        <w:br w:type="page"/>
      </w:r>
      <w:bookmarkEnd w:id="848"/>
      <w:bookmarkEnd w:id="849"/>
      <w:bookmarkStart w:id="850" w:name="_Toc4996"/>
      <w:bookmarkStart w:id="851" w:name="_Toc26837"/>
    </w:p>
    <w:bookmarkEnd w:id="850"/>
    <w:bookmarkEnd w:id="851"/>
    <w:p>
      <w:pPr>
        <w:pStyle w:val="47"/>
        <w:numPr>
          <w:ilvl w:val="0"/>
          <w:numId w:val="20"/>
        </w:numPr>
        <w:bidi w:val="0"/>
        <w:ind w:left="0" w:leftChars="0" w:firstLine="0" w:firstLineChars="0"/>
        <w:rPr>
          <w:rFonts w:hint="eastAsia"/>
          <w:color w:val="auto"/>
          <w:highlight w:val="none"/>
        </w:rPr>
      </w:pPr>
      <w:bookmarkStart w:id="852" w:name="_Toc17004"/>
      <w:bookmarkStart w:id="853" w:name="_Toc13866"/>
      <w:bookmarkStart w:id="854" w:name="_Toc15054"/>
      <w:bookmarkStart w:id="855" w:name="_Toc19166"/>
      <w:bookmarkStart w:id="856" w:name="_Toc4865"/>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授权书</w:t>
      </w:r>
      <w:bookmarkEnd w:id="852"/>
      <w:bookmarkEnd w:id="853"/>
    </w:p>
    <w:p>
      <w:pPr>
        <w:pStyle w:val="26"/>
        <w:bidi w:val="0"/>
        <w:rPr>
          <w:rFonts w:hint="eastAsia"/>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(采购代理机构名称)：</w:t>
      </w:r>
    </w:p>
    <w:p>
      <w:pPr>
        <w:pStyle w:val="29"/>
        <w:bidi w:val="0"/>
        <w:rPr>
          <w:rFonts w:hint="eastAsia"/>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姓名、职务)授权</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投标</w:t>
      </w:r>
      <w:r>
        <w:rPr>
          <w:rFonts w:hint="eastAsia"/>
          <w:color w:val="auto"/>
          <w:highlight w:val="none"/>
        </w:rPr>
        <w:t>活动的合法代表，以我方名义全权处理该项目有关</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特此声明。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 xml:space="preserve">     </w:t>
      </w:r>
    </w:p>
    <w:p>
      <w:pPr>
        <w:pStyle w:val="26"/>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1.法定代表人/单位负责人</w:t>
      </w:r>
      <w:r>
        <w:rPr>
          <w:rFonts w:hint="eastAsia"/>
          <w:color w:val="auto"/>
          <w:highlight w:val="none"/>
        </w:rPr>
        <w:t>不亲自参加</w:t>
      </w:r>
      <w:r>
        <w:rPr>
          <w:rFonts w:hint="eastAsia"/>
          <w:color w:val="auto"/>
          <w:highlight w:val="none"/>
          <w:lang w:val="en-US" w:eastAsia="zh-CN"/>
        </w:rPr>
        <w:t>投标</w:t>
      </w:r>
      <w:r>
        <w:rPr>
          <w:rFonts w:hint="eastAsia"/>
          <w:color w:val="auto"/>
          <w:highlight w:val="none"/>
        </w:rPr>
        <w:t>，而授权代表参加</w:t>
      </w:r>
      <w:r>
        <w:rPr>
          <w:rFonts w:hint="eastAsia"/>
          <w:color w:val="auto"/>
          <w:highlight w:val="none"/>
          <w:lang w:val="en-US" w:eastAsia="zh-CN"/>
        </w:rPr>
        <w:t>投标</w:t>
      </w:r>
      <w:r>
        <w:rPr>
          <w:rFonts w:hint="eastAsia"/>
          <w:color w:val="auto"/>
          <w:highlight w:val="none"/>
        </w:rPr>
        <w:t>的适用。</w:t>
      </w:r>
    </w:p>
    <w:p>
      <w:pPr>
        <w:pStyle w:val="49"/>
        <w:bidi w:val="0"/>
        <w:rPr>
          <w:color w:val="auto"/>
          <w:highlight w:val="none"/>
        </w:rPr>
      </w:pPr>
      <w:r>
        <w:rPr>
          <w:rFonts w:hint="eastAsia"/>
          <w:color w:val="auto"/>
          <w:highlight w:val="none"/>
          <w:lang w:val="en-US" w:eastAsia="zh-CN"/>
        </w:rPr>
        <w:t>2.</w:t>
      </w:r>
      <w:r>
        <w:rPr>
          <w:color w:val="auto"/>
          <w:highlight w:val="none"/>
        </w:rPr>
        <w:t>供应商为法人单位时提供“法定代表人授权书”，供应商为其他组织时提供“负责人授权书”，供应商为自然人时提供“自然人身份证明材料”。</w:t>
      </w:r>
    </w:p>
    <w:p>
      <w:pPr>
        <w:pStyle w:val="49"/>
        <w:bidi w:val="0"/>
        <w:rPr>
          <w:color w:val="auto"/>
          <w:highlight w:val="none"/>
        </w:rPr>
      </w:pPr>
      <w:r>
        <w:rPr>
          <w:rFonts w:hint="eastAsia"/>
          <w:color w:val="auto"/>
          <w:highlight w:val="none"/>
          <w:lang w:val="en-US" w:eastAsia="zh-CN"/>
        </w:rPr>
        <w:t>3.</w:t>
      </w:r>
      <w:r>
        <w:rPr>
          <w:color w:val="auto"/>
          <w:highlight w:val="none"/>
        </w:rPr>
        <w:t>应附法定代表人/单位负责人身份证明材料复印件和授权代表身份证明材料复印件。</w:t>
      </w:r>
    </w:p>
    <w:p>
      <w:pPr>
        <w:pStyle w:val="49"/>
        <w:bidi w:val="0"/>
        <w:rPr>
          <w:color w:val="auto"/>
          <w:highlight w:val="none"/>
        </w:rPr>
      </w:pPr>
      <w:r>
        <w:rPr>
          <w:rFonts w:hint="eastAsia"/>
          <w:color w:val="auto"/>
          <w:highlight w:val="none"/>
          <w:lang w:val="en-US" w:eastAsia="zh-CN"/>
        </w:rPr>
        <w:t>4.</w:t>
      </w:r>
      <w:r>
        <w:rPr>
          <w:color w:val="auto"/>
          <w:highlight w:val="none"/>
        </w:rPr>
        <w:t>身份证明材料包括居民身份证或户口本或军官证或护照等。</w:t>
      </w:r>
    </w:p>
    <w:p>
      <w:pPr>
        <w:pStyle w:val="49"/>
        <w:bidi w:val="0"/>
        <w:rPr>
          <w:rFonts w:hint="eastAsia"/>
          <w:color w:val="auto"/>
          <w:highlight w:val="none"/>
          <w:lang w:val="en-US" w:eastAsia="zh-CN"/>
        </w:rPr>
      </w:pPr>
      <w:r>
        <w:rPr>
          <w:rFonts w:hint="eastAsia"/>
          <w:color w:val="auto"/>
          <w:highlight w:val="none"/>
          <w:lang w:val="en-US" w:eastAsia="zh-CN"/>
        </w:rPr>
        <w:t>5.</w:t>
      </w:r>
      <w:r>
        <w:rPr>
          <w:color w:val="auto"/>
          <w:highlight w:val="none"/>
        </w:rPr>
        <w:t>身份证明材料应同时提供其在有效期的材料，如居民身份证正、反面复印件</w:t>
      </w:r>
      <w:r>
        <w:rPr>
          <w:rFonts w:hint="eastAsia"/>
          <w:color w:val="auto"/>
          <w:highlight w:val="none"/>
          <w:lang w:eastAsia="zh-CN"/>
        </w:rPr>
        <w:t>。</w:t>
      </w:r>
    </w:p>
    <w:p>
      <w:pPr>
        <w:pStyle w:val="26"/>
        <w:bidi w:val="0"/>
        <w:rPr>
          <w:rFonts w:hint="eastAsia"/>
          <w:color w:val="auto"/>
          <w:highlight w:val="none"/>
        </w:rPr>
      </w:pPr>
      <w:r>
        <w:rPr>
          <w:rFonts w:hint="eastAsia"/>
          <w:color w:val="auto"/>
          <w:highlight w:val="none"/>
        </w:rPr>
        <w:br w:type="page"/>
      </w:r>
    </w:p>
    <w:p>
      <w:pPr>
        <w:pStyle w:val="47"/>
        <w:keepNext w:val="0"/>
        <w:keepLines w:val="0"/>
        <w:pageBreakBefore/>
        <w:widowControl w:val="0"/>
        <w:numPr>
          <w:ilvl w:val="0"/>
          <w:numId w:val="21"/>
        </w:numPr>
        <w:kinsoku/>
        <w:wordWrap w:val="0"/>
        <w:overflowPunct/>
        <w:topLinePunct/>
        <w:autoSpaceDE/>
        <w:autoSpaceDN/>
        <w:bidi w:val="0"/>
        <w:adjustRightInd w:val="0"/>
        <w:snapToGrid w:val="0"/>
        <w:ind w:left="0" w:leftChars="0" w:firstLine="0" w:firstLineChars="0"/>
        <w:textAlignment w:val="auto"/>
        <w:rPr>
          <w:rFonts w:hint="eastAsia"/>
          <w:color w:val="auto"/>
          <w:highlight w:val="none"/>
          <w:lang w:val="en-US" w:eastAsia="zh-CN"/>
        </w:rPr>
      </w:pPr>
      <w:bookmarkStart w:id="857" w:name="_Toc3089"/>
      <w:bookmarkStart w:id="858" w:name="_Toc22140"/>
      <w:bookmarkStart w:id="859" w:name="_Toc5501"/>
      <w:bookmarkStart w:id="860" w:name="_Toc9243"/>
      <w:bookmarkStart w:id="861" w:name="_Toc21430"/>
      <w:bookmarkStart w:id="862" w:name="_Toc9688"/>
      <w:r>
        <w:rPr>
          <w:rFonts w:hint="eastAsia"/>
          <w:color w:val="auto"/>
          <w:highlight w:val="none"/>
          <w:lang w:val="en-US" w:eastAsia="zh-CN"/>
        </w:rPr>
        <w:t>法定代表人/单位负责人证明书</w:t>
      </w:r>
      <w:bookmarkEnd w:id="857"/>
      <w:bookmarkEnd w:id="858"/>
      <w:bookmarkEnd w:id="859"/>
      <w:bookmarkEnd w:id="860"/>
      <w:bookmarkEnd w:id="861"/>
      <w:bookmarkEnd w:id="862"/>
    </w:p>
    <w:p>
      <w:pPr>
        <w:pStyle w:val="29"/>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29"/>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活动、并参与项目的</w:t>
      </w:r>
      <w:r>
        <w:rPr>
          <w:rFonts w:hint="eastAsia"/>
          <w:color w:val="auto"/>
          <w:highlight w:val="none"/>
          <w:lang w:val="en-US" w:eastAsia="zh-CN"/>
        </w:rPr>
        <w:t>投标</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29"/>
        <w:bidi w:val="0"/>
        <w:rPr>
          <w:rFonts w:hint="eastAsia"/>
          <w:color w:val="auto"/>
          <w:highlight w:val="none"/>
        </w:rPr>
      </w:pPr>
      <w:r>
        <w:rPr>
          <w:rFonts w:hint="eastAsia"/>
          <w:color w:val="auto"/>
          <w:highlight w:val="none"/>
        </w:rPr>
        <w:t>特此证明。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 xml:space="preserve">(盖章) </w:t>
      </w:r>
    </w:p>
    <w:p>
      <w:pPr>
        <w:pStyle w:val="29"/>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(签字或盖章)</w:t>
      </w:r>
    </w:p>
    <w:p>
      <w:pPr>
        <w:pStyle w:val="29"/>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9"/>
        <w:bidi w:val="0"/>
        <w:rPr>
          <w:rFonts w:hint="eastAsia"/>
          <w:color w:val="auto"/>
          <w:highlight w:val="none"/>
        </w:rPr>
      </w:pPr>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法定代表人</w:t>
      </w:r>
      <w:r>
        <w:rPr>
          <w:color w:val="auto"/>
          <w:highlight w:val="none"/>
        </w:rPr>
        <w:t>/单位负责人</w:t>
      </w:r>
      <w:r>
        <w:rPr>
          <w:rFonts w:hint="eastAsia"/>
          <w:color w:val="auto"/>
          <w:highlight w:val="none"/>
        </w:rPr>
        <w:t>亲自参加</w:t>
      </w:r>
      <w:r>
        <w:rPr>
          <w:rFonts w:hint="eastAsia"/>
          <w:color w:val="auto"/>
          <w:highlight w:val="none"/>
          <w:lang w:val="en-US" w:eastAsia="zh-CN"/>
        </w:rPr>
        <w:t>投标</w:t>
      </w:r>
      <w:r>
        <w:rPr>
          <w:rFonts w:hint="eastAsia"/>
          <w:color w:val="auto"/>
          <w:highlight w:val="none"/>
        </w:rPr>
        <w:t>时适用本证明书。</w:t>
      </w:r>
    </w:p>
    <w:p>
      <w:pPr>
        <w:pStyle w:val="49"/>
        <w:bidi w:val="0"/>
        <w:rPr>
          <w:color w:val="auto"/>
          <w:highlight w:val="none"/>
        </w:rPr>
      </w:pPr>
      <w:r>
        <w:rPr>
          <w:rFonts w:hint="eastAsia"/>
          <w:color w:val="auto"/>
          <w:highlight w:val="none"/>
          <w:lang w:val="en-US" w:eastAsia="zh-CN"/>
        </w:rPr>
        <w:t>2.</w:t>
      </w:r>
      <w:r>
        <w:rPr>
          <w:color w:val="auto"/>
          <w:highlight w:val="none"/>
        </w:rPr>
        <w:t>应附法定代表人/单位负责人身份证明材料复印件。</w:t>
      </w:r>
    </w:p>
    <w:p>
      <w:pPr>
        <w:pStyle w:val="49"/>
        <w:bidi w:val="0"/>
        <w:rPr>
          <w:color w:val="auto"/>
          <w:highlight w:val="none"/>
        </w:rPr>
      </w:pPr>
      <w:r>
        <w:rPr>
          <w:rFonts w:hint="eastAsia"/>
          <w:color w:val="auto"/>
          <w:highlight w:val="none"/>
          <w:lang w:val="en-US" w:eastAsia="zh-CN"/>
        </w:rPr>
        <w:t>3.</w:t>
      </w:r>
      <w:r>
        <w:rPr>
          <w:color w:val="auto"/>
          <w:highlight w:val="none"/>
        </w:rPr>
        <w:t>身份证明材料包括居民身份证或户口本或军官证或护照等。</w:t>
      </w:r>
    </w:p>
    <w:p>
      <w:pPr>
        <w:pStyle w:val="49"/>
        <w:bidi w:val="0"/>
        <w:rPr>
          <w:rFonts w:hint="eastAsia"/>
          <w:color w:val="auto"/>
          <w:highlight w:val="none"/>
          <w:lang w:eastAsia="zh-CN"/>
        </w:rPr>
      </w:pPr>
      <w:r>
        <w:rPr>
          <w:rFonts w:hint="eastAsia"/>
          <w:color w:val="auto"/>
          <w:highlight w:val="none"/>
          <w:lang w:val="en-US" w:eastAsia="zh-CN"/>
        </w:rPr>
        <w:t>4.</w:t>
      </w:r>
      <w:r>
        <w:rPr>
          <w:color w:val="auto"/>
          <w:highlight w:val="none"/>
        </w:rPr>
        <w:t>身份证明材料应同时提供其在有效期的材料，如居民身份证正、反面复印件</w:t>
      </w:r>
      <w:r>
        <w:rPr>
          <w:rFonts w:hint="eastAsia"/>
          <w:color w:val="auto"/>
          <w:highlight w:val="none"/>
          <w:lang w:eastAsia="zh-CN"/>
        </w:rPr>
        <w:t>。</w:t>
      </w:r>
    </w:p>
    <w:p>
      <w:pPr>
        <w:pStyle w:val="47"/>
        <w:numPr>
          <w:ilvl w:val="0"/>
          <w:numId w:val="21"/>
        </w:numPr>
        <w:bidi w:val="0"/>
        <w:ind w:left="0" w:leftChars="0" w:firstLine="0" w:firstLineChars="0"/>
        <w:rPr>
          <w:rFonts w:hint="eastAsia"/>
          <w:color w:val="auto"/>
          <w:highlight w:val="none"/>
          <w:lang w:val="en-US" w:eastAsia="zh-CN"/>
        </w:rPr>
      </w:pPr>
      <w:bookmarkStart w:id="863" w:name="_Toc23333"/>
      <w:bookmarkStart w:id="864" w:name="_Toc28837"/>
      <w:bookmarkStart w:id="865" w:name="_Toc10998"/>
      <w:bookmarkStart w:id="866" w:name="_Toc22152"/>
      <w:bookmarkStart w:id="867" w:name="_Toc28397"/>
      <w:bookmarkStart w:id="868" w:name="_Toc3822"/>
      <w:r>
        <w:rPr>
          <w:rFonts w:hint="eastAsia"/>
          <w:color w:val="auto"/>
          <w:highlight w:val="none"/>
          <w:lang w:val="en-US" w:eastAsia="zh-CN"/>
        </w:rPr>
        <w:t>具有独立承担民事责任的能力的证明材料</w:t>
      </w:r>
      <w:bookmarkEnd w:id="863"/>
      <w:bookmarkEnd w:id="864"/>
      <w:bookmarkEnd w:id="865"/>
      <w:bookmarkEnd w:id="866"/>
    </w:p>
    <w:p>
      <w:pPr>
        <w:pStyle w:val="29"/>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67"/>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w:t>
      </w:r>
      <w:bookmarkEnd w:id="868"/>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26"/>
        <w:bidi w:val="0"/>
        <w:rPr>
          <w:rFonts w:hint="eastAsia"/>
          <w:color w:val="auto"/>
          <w:highlight w:val="none"/>
          <w:lang w:val="en-US" w:eastAsia="zh-CN"/>
        </w:rPr>
      </w:pPr>
    </w:p>
    <w:p>
      <w:pPr>
        <w:pStyle w:val="47"/>
        <w:numPr>
          <w:ilvl w:val="0"/>
          <w:numId w:val="21"/>
        </w:numPr>
        <w:bidi w:val="0"/>
        <w:ind w:left="0" w:leftChars="0" w:firstLine="0" w:firstLineChars="0"/>
        <w:rPr>
          <w:rFonts w:hint="eastAsia"/>
          <w:color w:val="auto"/>
          <w:highlight w:val="none"/>
          <w:lang w:val="en-US" w:eastAsia="zh-CN"/>
        </w:rPr>
      </w:pPr>
      <w:bookmarkStart w:id="869" w:name="_Toc3600"/>
      <w:bookmarkStart w:id="870" w:name="_Toc29937"/>
      <w:bookmarkStart w:id="871" w:name="_Toc28024"/>
      <w:bookmarkStart w:id="872" w:name="_Toc13760"/>
      <w:bookmarkStart w:id="873" w:name="_Toc14566"/>
      <w:r>
        <w:rPr>
          <w:rFonts w:hint="eastAsia"/>
          <w:color w:val="auto"/>
          <w:highlight w:val="none"/>
          <w:lang w:val="en-US" w:eastAsia="zh-CN"/>
        </w:rPr>
        <w:t>投标人具有良好的商业信誉和健全的财务会计制度的证明材料</w:t>
      </w:r>
      <w:bookmarkEnd w:id="869"/>
      <w:bookmarkEnd w:id="870"/>
      <w:bookmarkEnd w:id="871"/>
      <w:bookmarkEnd w:id="872"/>
    </w:p>
    <w:bookmarkEnd w:id="873"/>
    <w:p>
      <w:pPr>
        <w:pStyle w:val="29"/>
        <w:bidi w:val="0"/>
        <w:rPr>
          <w:rFonts w:hint="eastAsia"/>
          <w:color w:val="auto"/>
          <w:highlight w:val="none"/>
          <w:lang w:val="en-US" w:eastAsia="zh-CN"/>
        </w:rPr>
      </w:pPr>
      <w:bookmarkStart w:id="874" w:name="_Toc17744"/>
      <w:bookmarkStart w:id="875" w:name="_Toc19866"/>
      <w:bookmarkStart w:id="876" w:name="_Toc5443"/>
      <w:r>
        <w:rPr>
          <w:rFonts w:hint="eastAsia"/>
          <w:color w:val="auto"/>
          <w:highlight w:val="none"/>
          <w:lang w:val="en-US" w:eastAsia="zh-CN"/>
        </w:rPr>
        <w:t>1.投标人具有</w:t>
      </w:r>
      <w:r>
        <w:rPr>
          <w:rFonts w:hint="eastAsia"/>
          <w:color w:val="auto"/>
          <w:highlight w:val="none"/>
        </w:rPr>
        <w:t>良好商业信誉的证明材料</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eastAsia="宋体"/>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7"/>
        <w:numPr>
          <w:ilvl w:val="0"/>
          <w:numId w:val="21"/>
        </w:numPr>
        <w:bidi w:val="0"/>
        <w:ind w:left="0" w:leftChars="0" w:firstLine="0" w:firstLineChars="0"/>
        <w:rPr>
          <w:rFonts w:hint="eastAsia"/>
          <w:color w:val="auto"/>
          <w:highlight w:val="none"/>
          <w:lang w:val="en-US" w:eastAsia="zh-CN"/>
        </w:rPr>
      </w:pPr>
      <w:bookmarkStart w:id="877" w:name="_Toc19365"/>
      <w:bookmarkStart w:id="878" w:name="_Toc24541"/>
      <w:r>
        <w:rPr>
          <w:rFonts w:hint="eastAsia"/>
          <w:color w:val="auto"/>
          <w:highlight w:val="none"/>
          <w:lang w:val="en-US" w:eastAsia="zh-CN"/>
        </w:rPr>
        <w:t>投标人具有依法缴纳税收和社会保障资金的良好记录的证明材料</w:t>
      </w:r>
      <w:bookmarkEnd w:id="874"/>
      <w:bookmarkEnd w:id="875"/>
      <w:bookmarkEnd w:id="877"/>
      <w:bookmarkEnd w:id="878"/>
    </w:p>
    <w:bookmarkEnd w:id="876"/>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1"/>
        </w:numPr>
        <w:bidi w:val="0"/>
        <w:ind w:left="0" w:leftChars="0" w:firstLine="0" w:firstLineChars="0"/>
        <w:rPr>
          <w:rFonts w:hint="eastAsia"/>
          <w:color w:val="auto"/>
          <w:highlight w:val="none"/>
          <w:lang w:val="en-US" w:eastAsia="zh-CN"/>
        </w:rPr>
      </w:pPr>
      <w:bookmarkStart w:id="879" w:name="_Toc16233"/>
      <w:bookmarkStart w:id="880" w:name="_Toc16336"/>
      <w:bookmarkStart w:id="881" w:name="_Toc15870"/>
      <w:bookmarkStart w:id="882" w:name="_Toc14829"/>
      <w:r>
        <w:rPr>
          <w:rFonts w:hint="eastAsia"/>
          <w:color w:val="auto"/>
          <w:highlight w:val="none"/>
          <w:lang w:val="en-US" w:eastAsia="zh-CN"/>
        </w:rPr>
        <w:t>投标人具有履行合同所必需的设备和专业技术能力证明材料</w:t>
      </w:r>
      <w:bookmarkEnd w:id="879"/>
      <w:bookmarkEnd w:id="880"/>
      <w:bookmarkEnd w:id="881"/>
      <w:bookmarkEnd w:id="882"/>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1"/>
        </w:numPr>
        <w:bidi w:val="0"/>
        <w:ind w:left="0" w:leftChars="0" w:firstLine="0" w:firstLineChars="0"/>
        <w:rPr>
          <w:rFonts w:hint="eastAsia"/>
          <w:color w:val="auto"/>
          <w:highlight w:val="none"/>
          <w:lang w:val="en-US" w:eastAsia="zh-CN"/>
        </w:rPr>
      </w:pPr>
      <w:bookmarkStart w:id="883" w:name="_Toc21379"/>
      <w:bookmarkStart w:id="884" w:name="_Toc9229"/>
      <w:bookmarkStart w:id="885" w:name="_Toc9968"/>
      <w:r>
        <w:rPr>
          <w:rFonts w:hint="eastAsia"/>
          <w:color w:val="auto"/>
          <w:highlight w:val="none"/>
          <w:lang w:val="en-US" w:eastAsia="zh-CN"/>
        </w:rPr>
        <w:t>投标人参加政府采购活动前三年内，在经营活动中没有重大违法记录的证明材料</w:t>
      </w:r>
      <w:bookmarkEnd w:id="883"/>
      <w:bookmarkEnd w:id="884"/>
      <w:bookmarkEnd w:id="885"/>
    </w:p>
    <w:p>
      <w:pPr>
        <w:pStyle w:val="29"/>
        <w:bidi w:val="0"/>
        <w:rPr>
          <w:rFonts w:hint="eastAsia"/>
          <w:color w:val="auto"/>
          <w:highlight w:val="none"/>
          <w:lang w:val="en-US" w:eastAsia="zh-CN"/>
        </w:rPr>
      </w:pPr>
      <w:bookmarkStart w:id="886" w:name="_Toc9591"/>
      <w:bookmarkStart w:id="887" w:name="_Toc14299"/>
      <w:r>
        <w:rPr>
          <w:rFonts w:hint="eastAsia"/>
          <w:color w:val="auto"/>
          <w:highlight w:val="none"/>
          <w:lang w:val="en-US" w:eastAsia="zh-CN"/>
        </w:rPr>
        <w:t>投标人提供参加本次政府采购活动前三年内，在经营活动中没有重大违法记录的书面声明(成立不足三年的，从成立之日起计算)。</w:t>
      </w:r>
    </w:p>
    <w:p>
      <w:pPr>
        <w:pStyle w:val="49"/>
        <w:bidi w:val="0"/>
        <w:rPr>
          <w:rFonts w:hint="eastAsia"/>
          <w:color w:val="auto"/>
          <w:highlight w:val="none"/>
          <w:lang w:val="en-US" w:eastAsia="zh-CN"/>
        </w:rPr>
      </w:pPr>
      <w:bookmarkStart w:id="888" w:name="_Toc7540"/>
      <w:bookmarkStart w:id="889" w:name="_Toc26284"/>
      <w:r>
        <w:rPr>
          <w:rFonts w:hint="eastAsia"/>
          <w:color w:val="auto"/>
          <w:highlight w:val="none"/>
          <w:lang w:val="en-US" w:eastAsia="zh-CN"/>
        </w:rPr>
        <w:t>注：格式自拟，或参照《符合&lt;中华人民共和国政府采购法&gt;第二十二条规定的条件的承诺及声明函》的格式提供声明函。</w:t>
      </w:r>
    </w:p>
    <w:bookmarkEnd w:id="886"/>
    <w:bookmarkEnd w:id="887"/>
    <w:bookmarkEnd w:id="888"/>
    <w:bookmarkEnd w:id="889"/>
    <w:p>
      <w:pPr>
        <w:pStyle w:val="47"/>
        <w:numPr>
          <w:ilvl w:val="0"/>
          <w:numId w:val="21"/>
        </w:numPr>
        <w:bidi w:val="0"/>
        <w:ind w:left="0" w:leftChars="0" w:firstLine="0" w:firstLineChars="0"/>
        <w:rPr>
          <w:rFonts w:hint="eastAsia"/>
          <w:color w:val="auto"/>
          <w:highlight w:val="none"/>
          <w:lang w:val="zh-CN" w:eastAsia="zh-CN"/>
        </w:rPr>
      </w:pPr>
      <w:bookmarkStart w:id="890" w:name="_Toc3840"/>
      <w:bookmarkStart w:id="891" w:name="_Toc17558"/>
      <w:bookmarkStart w:id="892" w:name="_Toc27034"/>
      <w:bookmarkStart w:id="893" w:name="_Toc21880"/>
      <w:bookmarkStart w:id="894" w:name="_Toc29042"/>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w:t>
      </w:r>
      <w:bookmarkEnd w:id="890"/>
      <w:bookmarkEnd w:id="891"/>
      <w:bookmarkEnd w:id="892"/>
      <w:r>
        <w:rPr>
          <w:rFonts w:hint="eastAsia"/>
          <w:color w:val="auto"/>
          <w:highlight w:val="none"/>
          <w:lang w:val="en-US" w:eastAsia="zh-CN"/>
        </w:rPr>
        <w:t>承诺函</w:t>
      </w:r>
      <w:bookmarkEnd w:id="893"/>
      <w:bookmarkEnd w:id="894"/>
    </w:p>
    <w:p>
      <w:pPr>
        <w:pStyle w:val="26"/>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6"/>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29"/>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pStyle w:val="29"/>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8"/>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47"/>
        <w:numPr>
          <w:ilvl w:val="0"/>
          <w:numId w:val="21"/>
        </w:numPr>
        <w:bidi w:val="0"/>
        <w:ind w:left="0" w:leftChars="0" w:firstLine="0" w:firstLineChars="0"/>
        <w:rPr>
          <w:rFonts w:hint="eastAsia"/>
          <w:color w:val="auto"/>
          <w:highlight w:val="none"/>
          <w:lang w:val="en-US" w:eastAsia="zh-CN"/>
        </w:rPr>
      </w:pPr>
      <w:bookmarkStart w:id="895" w:name="_Toc10148"/>
      <w:r>
        <w:rPr>
          <w:rFonts w:hint="eastAsia"/>
          <w:color w:val="auto"/>
          <w:highlight w:val="none"/>
          <w:lang w:val="en-US" w:eastAsia="zh-CN"/>
        </w:rPr>
        <w:t>根据采购项目的特殊要求，供应商提供具有特定条件</w:t>
      </w:r>
      <w:bookmarkEnd w:id="854"/>
      <w:r>
        <w:rPr>
          <w:rFonts w:hint="eastAsia"/>
          <w:color w:val="auto"/>
          <w:highlight w:val="none"/>
          <w:lang w:val="en-US" w:eastAsia="zh-CN"/>
        </w:rPr>
        <w:t>的证明材料</w:t>
      </w:r>
      <w:bookmarkEnd w:id="855"/>
      <w:bookmarkEnd w:id="856"/>
      <w:bookmarkEnd w:id="895"/>
    </w:p>
    <w:p>
      <w:pPr>
        <w:pStyle w:val="29"/>
        <w:bidi w:val="0"/>
        <w:rPr>
          <w:rFonts w:hint="eastAsia"/>
          <w:color w:val="auto"/>
          <w:highlight w:val="none"/>
          <w:lang w:val="en-US" w:eastAsia="zh-CN"/>
        </w:rPr>
      </w:pPr>
      <w:r>
        <w:rPr>
          <w:rFonts w:hint="eastAsia"/>
          <w:color w:val="auto"/>
          <w:highlight w:val="none"/>
          <w:lang w:val="en-US" w:eastAsia="zh-CN"/>
        </w:rPr>
        <w:t>1.提供国家卫生部门颁发的《医疗机构执业许可证》复印件(投标人为军队医院的应提供《军队单位对外有偿服务许可证》复印件)；提供有效的《放射诊疗许可证》或者《辐射安全许可证》复印件；</w:t>
      </w:r>
    </w:p>
    <w:p>
      <w:pPr>
        <w:pStyle w:val="29"/>
        <w:bidi w:val="0"/>
        <w:rPr>
          <w:rFonts w:hint="eastAsia"/>
          <w:b w:val="0"/>
          <w:bCs/>
          <w:color w:val="auto"/>
          <w:highlight w:val="none"/>
          <w:lang w:val="en-US" w:eastAsia="zh-CN"/>
        </w:rPr>
      </w:pPr>
      <w:r>
        <w:rPr>
          <w:rFonts w:hint="eastAsia"/>
          <w:b w:val="0"/>
          <w:bCs/>
          <w:color w:val="auto"/>
          <w:highlight w:val="none"/>
          <w:lang w:val="en-US" w:eastAsia="zh-CN"/>
        </w:rPr>
        <w:t>2.提供未与其他投标供应商组成联合体参与本项目投标的承诺函。</w:t>
      </w:r>
    </w:p>
    <w:p>
      <w:pPr>
        <w:pStyle w:val="29"/>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p>
    <w:p>
      <w:pPr>
        <w:pStyle w:val="47"/>
        <w:numPr>
          <w:ilvl w:val="0"/>
          <w:numId w:val="21"/>
        </w:numPr>
        <w:bidi w:val="0"/>
        <w:ind w:left="0" w:leftChars="0" w:firstLine="0" w:firstLineChars="0"/>
        <w:rPr>
          <w:rFonts w:hint="eastAsia"/>
          <w:color w:val="auto"/>
          <w:highlight w:val="none"/>
          <w:lang w:val="en-US" w:eastAsia="zh-CN"/>
        </w:rPr>
      </w:pPr>
      <w:bookmarkStart w:id="896" w:name="_Toc15708"/>
      <w:bookmarkStart w:id="897" w:name="_Toc21855"/>
      <w:bookmarkStart w:id="898" w:name="_Toc12425"/>
      <w:r>
        <w:rPr>
          <w:rFonts w:hint="eastAsia"/>
          <w:color w:val="auto"/>
          <w:highlight w:val="none"/>
          <w:lang w:val="en-US" w:eastAsia="zh-CN"/>
        </w:rPr>
        <w:t>符合《中华人民共和国政府采购法》第二十二条规定的条件的承诺及声明函</w:t>
      </w:r>
      <w:bookmarkEnd w:id="896"/>
      <w:bookmarkEnd w:id="897"/>
      <w:bookmarkEnd w:id="898"/>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 xml:space="preserve">具有良好的商业信誉和健全的财务会计制度； </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 xml:space="preserve">具有履行合同所必需的设备和专业技术能力； </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参加本次政府采购活动前三年内，在经营活动中没有重大违法记录(供应商成立不足三年的，从成立之日起计算)；</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符合</w:t>
      </w:r>
      <w:r>
        <w:rPr>
          <w:rFonts w:hint="eastAsia"/>
          <w:color w:val="auto"/>
          <w:highlight w:val="none"/>
        </w:rPr>
        <w:t>法律、行政法规规定的其他条件</w:t>
      </w:r>
      <w:r>
        <w:rPr>
          <w:rFonts w:hint="eastAsia"/>
          <w:color w:val="auto"/>
          <w:highlight w:val="none"/>
          <w:lang w:eastAsia="zh-CN"/>
        </w:rPr>
        <w:t>；</w:t>
      </w:r>
    </w:p>
    <w:p>
      <w:pPr>
        <w:pStyle w:val="39"/>
        <w:keepNext w:val="0"/>
        <w:keepLines w:val="0"/>
        <w:pageBreakBefore w:val="0"/>
        <w:widowControl w:val="0"/>
        <w:numPr>
          <w:ilvl w:val="2"/>
          <w:numId w:val="22"/>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未与其他供应商组成联合体参加本项目投标。</w:t>
      </w:r>
    </w:p>
    <w:p>
      <w:pPr>
        <w:pStyle w:val="29"/>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49"/>
        <w:bidi w:val="0"/>
        <w:rPr>
          <w:rFonts w:cs="宋体" w:asciiTheme="minorEastAsia" w:hAnsiTheme="minorEastAsia" w:eastAsiaTheme="minorEastAsia"/>
          <w:color w:val="auto"/>
          <w:highlight w:val="none"/>
        </w:rPr>
      </w:pPr>
      <w:r>
        <w:rPr>
          <w:rFonts w:hint="eastAsia"/>
          <w:color w:val="auto"/>
          <w:highlight w:val="none"/>
          <w:lang w:val="en-US" w:eastAsia="zh-CN"/>
        </w:rPr>
        <w:t>注：本部分所要求的承诺函可参照本格式或自拟格式填写均有效。</w:t>
      </w:r>
      <w:bookmarkStart w:id="899" w:name="_Toc18702"/>
    </w:p>
    <w:p>
      <w:pPr>
        <w:pStyle w:val="26"/>
        <w:bidi w:val="0"/>
        <w:rPr>
          <w:rFonts w:hint="default" w:eastAsia="宋体"/>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bookmarkStart w:id="900" w:name="_Toc14607"/>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rPr>
          <w:rFonts w:hint="eastAsia"/>
          <w:color w:val="auto"/>
          <w:sz w:val="32"/>
          <w:szCs w:val="32"/>
          <w:highlight w:val="none"/>
        </w:rPr>
      </w:pPr>
      <w:r>
        <w:rPr>
          <w:rFonts w:hint="eastAsia"/>
          <w:color w:val="auto"/>
          <w:sz w:val="32"/>
          <w:szCs w:val="32"/>
          <w:highlight w:val="none"/>
        </w:rPr>
        <w:br w:type="page"/>
      </w: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4"/>
        <w:numPr>
          <w:ilvl w:val="1"/>
          <w:numId w:val="0"/>
        </w:numPr>
        <w:bidi w:val="0"/>
        <w:jc w:val="center"/>
        <w:rPr>
          <w:rFonts w:hint="eastAsia"/>
          <w:color w:val="auto"/>
          <w:sz w:val="32"/>
          <w:szCs w:val="32"/>
          <w:highlight w:val="none"/>
        </w:rPr>
      </w:pPr>
      <w:bookmarkStart w:id="901" w:name="_Toc16269"/>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900"/>
      <w:bookmarkEnd w:id="901"/>
    </w:p>
    <w:p>
      <w:pPr>
        <w:pStyle w:val="26"/>
        <w:bidi w:val="0"/>
        <w:rPr>
          <w:rFonts w:hint="eastAsia"/>
          <w:color w:val="auto"/>
          <w:highlight w:val="none"/>
          <w:lang w:val="en-US" w:eastAsia="zh-CN"/>
        </w:rPr>
      </w:pPr>
      <w:bookmarkStart w:id="902" w:name="_Toc26038"/>
      <w:r>
        <w:rPr>
          <w:rFonts w:hint="eastAsia"/>
          <w:color w:val="auto"/>
          <w:highlight w:val="none"/>
          <w:lang w:val="en-US" w:eastAsia="zh-CN"/>
        </w:rPr>
        <w:br w:type="page"/>
      </w:r>
    </w:p>
    <w:bookmarkEnd w:id="899"/>
    <w:bookmarkEnd w:id="902"/>
    <w:p>
      <w:pPr>
        <w:pStyle w:val="47"/>
        <w:numPr>
          <w:ilvl w:val="0"/>
          <w:numId w:val="23"/>
        </w:numPr>
        <w:bidi w:val="0"/>
        <w:ind w:left="0" w:leftChars="0" w:firstLine="0" w:firstLineChars="0"/>
        <w:rPr>
          <w:rFonts w:hint="eastAsia"/>
          <w:color w:val="auto"/>
          <w:highlight w:val="none"/>
          <w:lang w:val="en-US" w:eastAsia="zh-CN"/>
        </w:rPr>
      </w:pPr>
      <w:bookmarkStart w:id="903" w:name="_Toc2311"/>
      <w:bookmarkStart w:id="904" w:name="_Toc23956"/>
      <w:bookmarkStart w:id="905" w:name="_Toc11229"/>
      <w:bookmarkStart w:id="906" w:name="_Toc5308"/>
      <w:bookmarkStart w:id="907" w:name="_Toc19766"/>
      <w:bookmarkStart w:id="908" w:name="_Toc30133"/>
      <w:bookmarkStart w:id="909" w:name="_Toc1650"/>
      <w:r>
        <w:rPr>
          <w:rFonts w:hint="eastAsia"/>
          <w:color w:val="auto"/>
          <w:highlight w:val="none"/>
          <w:lang w:val="en-US" w:eastAsia="zh-CN"/>
        </w:rPr>
        <w:t>投标函</w:t>
      </w:r>
      <w:bookmarkEnd w:id="903"/>
      <w:bookmarkEnd w:id="904"/>
      <w:bookmarkEnd w:id="905"/>
    </w:p>
    <w:p>
      <w:pPr>
        <w:pStyle w:val="2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29"/>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w:t>
      </w:r>
      <w:r>
        <w:rPr>
          <w:rFonts w:hint="eastAsia"/>
          <w:color w:val="auto"/>
          <w:highlight w:val="none"/>
          <w:lang w:val="en-US" w:eastAsia="zh-CN"/>
        </w:rPr>
        <w:t>方</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投标人名称</w:t>
      </w:r>
      <w:r>
        <w:rPr>
          <w:rFonts w:hint="eastAsia"/>
          <w:color w:val="auto"/>
          <w:highlight w:val="none"/>
        </w:rPr>
        <w:t>)全权处理本项目投标的有关事宜。</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服务</w:t>
      </w:r>
      <w:r>
        <w:rPr>
          <w:rFonts w:hint="eastAsia"/>
          <w:color w:val="auto"/>
          <w:highlight w:val="none"/>
        </w:rPr>
        <w:t>，投标</w:t>
      </w:r>
      <w:r>
        <w:rPr>
          <w:rFonts w:hint="eastAsia"/>
          <w:color w:val="auto"/>
          <w:highlight w:val="none"/>
          <w:lang w:val="en-US" w:eastAsia="zh-CN"/>
        </w:rPr>
        <w:t>报价详见开标一览表</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履约期限为</w:t>
      </w:r>
      <w:r>
        <w:rPr>
          <w:rFonts w:hint="eastAsia"/>
          <w:color w:val="auto"/>
          <w:highlight w:val="none"/>
          <w:u w:val="single"/>
        </w:rPr>
        <w:t xml:space="preserve">             </w:t>
      </w:r>
      <w:r>
        <w:rPr>
          <w:rFonts w:hint="eastAsia"/>
          <w:color w:val="auto"/>
          <w:highlight w:val="none"/>
          <w:u w:val="none"/>
          <w:lang w:eastAsia="zh-CN"/>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我方承诺：投标有效期</w:t>
      </w:r>
      <w:r>
        <w:rPr>
          <w:rFonts w:hint="eastAsia"/>
          <w:color w:val="auto"/>
          <w:highlight w:val="none"/>
          <w:u w:val="none"/>
        </w:rPr>
        <w:t>为</w:t>
      </w:r>
      <w:r>
        <w:rPr>
          <w:rFonts w:hint="eastAsia"/>
          <w:color w:val="auto"/>
          <w:highlight w:val="none"/>
          <w:u w:val="none"/>
          <w:lang w:val="en-US" w:eastAsia="zh-CN"/>
        </w:rPr>
        <w:t>提交投标文件的截止之日起90日</w:t>
      </w:r>
      <w:r>
        <w:rPr>
          <w:rFonts w:hint="eastAsia"/>
          <w:color w:val="auto"/>
          <w:highlight w:val="none"/>
        </w:rPr>
        <w:t>。</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39"/>
        <w:keepNext w:val="0"/>
        <w:keepLines w:val="0"/>
        <w:pageBreakBefore w:val="0"/>
        <w:widowControl w:val="0"/>
        <w:numPr>
          <w:ilvl w:val="2"/>
          <w:numId w:val="24"/>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我方承诺</w:t>
      </w:r>
      <w:r>
        <w:rPr>
          <w:rFonts w:hint="eastAsia"/>
          <w:color w:val="auto"/>
          <w:highlight w:val="none"/>
          <w:lang w:val="en-US" w:eastAsia="zh-CN"/>
        </w:rPr>
        <w:t>积极配合招标代理机构办理领取中标通知书事宜，同时</w:t>
      </w:r>
      <w:r>
        <w:rPr>
          <w:rFonts w:hint="eastAsia"/>
          <w:color w:val="auto"/>
          <w:highlight w:val="none"/>
        </w:rPr>
        <w:t>在收到中标通知书后，在规定的期限内与采购人签订合同。</w:t>
      </w:r>
    </w:p>
    <w:p>
      <w:pPr>
        <w:pStyle w:val="40"/>
        <w:bidi w:val="0"/>
        <w:rPr>
          <w:rFonts w:hint="eastAsia"/>
          <w:color w:val="auto"/>
          <w:highlight w:val="none"/>
        </w:rPr>
      </w:pPr>
      <w:r>
        <w:rPr>
          <w:rFonts w:hint="eastAsia"/>
          <w:color w:val="auto"/>
          <w:highlight w:val="none"/>
        </w:rPr>
        <w:t>我方承诺按照</w:t>
      </w:r>
      <w:r>
        <w:rPr>
          <w:rFonts w:hint="eastAsia"/>
          <w:color w:val="auto"/>
          <w:highlight w:val="none"/>
          <w:lang w:val="en-US" w:eastAsia="zh-CN"/>
        </w:rPr>
        <w:t>招标</w:t>
      </w:r>
      <w:r>
        <w:rPr>
          <w:rFonts w:hint="eastAsia"/>
          <w:color w:val="auto"/>
          <w:highlight w:val="none"/>
        </w:rPr>
        <w:t>文件规定的金额和方式向采购人缴纳履约保证金。</w:t>
      </w:r>
    </w:p>
    <w:p>
      <w:pPr>
        <w:pStyle w:val="40"/>
        <w:bidi w:val="0"/>
        <w:rPr>
          <w:rFonts w:hint="eastAsia"/>
          <w:color w:val="auto"/>
          <w:highlight w:val="none"/>
        </w:rPr>
      </w:pPr>
      <w:r>
        <w:rPr>
          <w:rFonts w:hint="eastAsia"/>
          <w:color w:val="auto"/>
          <w:highlight w:val="none"/>
        </w:rPr>
        <w:t>我方将严格履行政府采购合同规定的责任和义务。</w:t>
      </w:r>
    </w:p>
    <w:p>
      <w:pPr>
        <w:pStyle w:val="40"/>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报价有关的文件资料，并保证我方已提供和将要提供的文件资料是真实、准确的。</w:t>
      </w:r>
    </w:p>
    <w:p>
      <w:pPr>
        <w:pStyle w:val="40"/>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项目，接受采购人按照政府采购合同约定金额支付采购资金。</w:t>
      </w:r>
    </w:p>
    <w:p>
      <w:pPr>
        <w:pStyle w:val="40"/>
        <w:bidi w:val="0"/>
        <w:rPr>
          <w:rFonts w:hint="eastAsia"/>
          <w:color w:val="auto"/>
          <w:highlight w:val="none"/>
        </w:rPr>
      </w:pPr>
      <w:r>
        <w:rPr>
          <w:rFonts w:hint="eastAsia"/>
          <w:color w:val="auto"/>
          <w:highlight w:val="none"/>
          <w:lang w:val="en-US" w:eastAsia="zh-CN"/>
        </w:rPr>
        <w:t>我方在参与本项目履约过程中涉及国家相关强制标准的，均按照该标准执行。</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5.我方在参加本次政府采购活动中，涉及的询问、质疑</w:t>
      </w:r>
      <w:r>
        <w:rPr>
          <w:rFonts w:hint="eastAsia"/>
          <w:color w:val="auto"/>
          <w:highlight w:val="none"/>
          <w:lang w:eastAsia="zh-CN"/>
        </w:rPr>
        <w:t>、</w:t>
      </w:r>
      <w:r>
        <w:rPr>
          <w:rFonts w:hint="eastAsia"/>
          <w:color w:val="auto"/>
          <w:highlight w:val="none"/>
          <w:lang w:val="en-US" w:eastAsia="zh-CN"/>
        </w:rPr>
        <w:t>邮寄(快递)中标通知书等采购文书资料</w:t>
      </w:r>
      <w:r>
        <w:rPr>
          <w:rFonts w:hint="eastAsia"/>
          <w:color w:val="auto"/>
          <w:highlight w:val="none"/>
        </w:rPr>
        <w:t>送达地址</w:t>
      </w:r>
      <w:r>
        <w:rPr>
          <w:rFonts w:hint="eastAsia"/>
          <w:color w:val="auto"/>
          <w:highlight w:val="none"/>
          <w:lang w:val="en-US" w:eastAsia="zh-CN"/>
        </w:rPr>
        <w:t>为：</w:t>
      </w:r>
      <w:r>
        <w:rPr>
          <w:rFonts w:hint="eastAsia"/>
          <w:color w:val="auto"/>
          <w:highlight w:val="none"/>
          <w:u w:val="single"/>
          <w:lang w:val="en-US" w:eastAsia="zh-CN"/>
        </w:rPr>
        <w:t xml:space="preserve">                                     </w:t>
      </w:r>
      <w:r>
        <w:rPr>
          <w:rFonts w:hint="eastAsia"/>
          <w:color w:val="auto"/>
          <w:highlight w:val="none"/>
          <w:lang w:eastAsia="zh-CN"/>
        </w:rPr>
        <w:t>；</w:t>
      </w:r>
      <w:r>
        <w:rPr>
          <w:rFonts w:hint="eastAsia"/>
          <w:color w:val="auto"/>
          <w:highlight w:val="none"/>
          <w:lang w:val="en-US" w:eastAsia="zh-CN"/>
        </w:rPr>
        <w:t>联系人：</w:t>
      </w:r>
      <w:r>
        <w:rPr>
          <w:rFonts w:hint="eastAsia"/>
          <w:color w:val="auto"/>
          <w:highlight w:val="none"/>
          <w:u w:val="single"/>
          <w:lang w:val="en-US" w:eastAsia="zh-CN"/>
        </w:rPr>
        <w:t xml:space="preserve">           </w:t>
      </w:r>
      <w:r>
        <w:rPr>
          <w:rFonts w:hint="eastAsia"/>
          <w:color w:val="auto"/>
          <w:highlight w:val="none"/>
          <w:lang w:val="en-US" w:eastAsia="zh-CN"/>
        </w:rPr>
        <w:t>；联系电话：</w:t>
      </w:r>
      <w:r>
        <w:rPr>
          <w:rFonts w:hint="eastAsia"/>
          <w:color w:val="auto"/>
          <w:highlight w:val="none"/>
          <w:u w:val="single"/>
          <w:lang w:val="en-US" w:eastAsia="zh-CN"/>
        </w:rPr>
        <w:t xml:space="preserve">            </w:t>
      </w:r>
      <w:r>
        <w:rPr>
          <w:rFonts w:hint="eastAsia"/>
          <w:color w:val="auto"/>
          <w:highlight w:val="none"/>
          <w:lang w:val="en-US" w:eastAsia="zh-CN"/>
        </w:rPr>
        <w:t>，如</w:t>
      </w:r>
      <w:r>
        <w:rPr>
          <w:rFonts w:hint="eastAsia"/>
          <w:color w:val="auto"/>
          <w:highlight w:val="none"/>
        </w:rPr>
        <w:t>在</w:t>
      </w:r>
      <w:r>
        <w:rPr>
          <w:rFonts w:hint="eastAsia"/>
          <w:color w:val="auto"/>
          <w:highlight w:val="none"/>
          <w:lang w:val="en-US" w:eastAsia="zh-CN"/>
        </w:rPr>
        <w:t>采购结果公告发布</w:t>
      </w:r>
      <w:r>
        <w:rPr>
          <w:rFonts w:hint="eastAsia"/>
          <w:color w:val="auto"/>
          <w:highlight w:val="none"/>
        </w:rPr>
        <w:t>前变更送达地址的，</w:t>
      </w:r>
      <w:r>
        <w:rPr>
          <w:rFonts w:hint="eastAsia"/>
          <w:color w:val="auto"/>
          <w:highlight w:val="none"/>
          <w:lang w:val="en-US" w:eastAsia="zh-CN"/>
        </w:rPr>
        <w:t>将</w:t>
      </w:r>
      <w:r>
        <w:rPr>
          <w:rFonts w:hint="eastAsia"/>
          <w:color w:val="auto"/>
          <w:highlight w:val="none"/>
        </w:rPr>
        <w:t>及时以书面方式告知</w:t>
      </w:r>
      <w:r>
        <w:rPr>
          <w:rFonts w:hint="eastAsia"/>
          <w:color w:val="auto"/>
          <w:highlight w:val="none"/>
          <w:lang w:val="en-US" w:eastAsia="zh-CN"/>
        </w:rPr>
        <w:t>贵公司</w:t>
      </w:r>
      <w:r>
        <w:rPr>
          <w:rFonts w:hint="eastAsia"/>
          <w:color w:val="auto"/>
          <w:highlight w:val="none"/>
        </w:rPr>
        <w:t>。</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5.1我方承诺：如未</w:t>
      </w:r>
      <w:r>
        <w:rPr>
          <w:rFonts w:hint="eastAsia"/>
          <w:color w:val="auto"/>
          <w:highlight w:val="none"/>
        </w:rPr>
        <w:t>提供自己的送达地址，经</w:t>
      </w:r>
      <w:r>
        <w:rPr>
          <w:rFonts w:hint="eastAsia"/>
          <w:color w:val="auto"/>
          <w:highlight w:val="none"/>
          <w:lang w:val="en-US" w:eastAsia="zh-CN"/>
        </w:rPr>
        <w:t>招标代理机构</w:t>
      </w:r>
      <w:r>
        <w:rPr>
          <w:rFonts w:hint="eastAsia"/>
          <w:color w:val="auto"/>
          <w:highlight w:val="none"/>
        </w:rPr>
        <w:t>告知后仍不提供的，自然人以其户籍登记中的住所地为送达地址;法人或者其他组织以其工商登记或者其他依法登记、备案中的住所地为送达地址。</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5.2</w:t>
      </w:r>
      <w:r>
        <w:rPr>
          <w:rFonts w:hint="eastAsia"/>
          <w:color w:val="auto"/>
          <w:highlight w:val="none"/>
        </w:rPr>
        <w:t>因</w:t>
      </w:r>
      <w:r>
        <w:rPr>
          <w:rFonts w:hint="eastAsia"/>
          <w:color w:val="auto"/>
          <w:highlight w:val="none"/>
          <w:lang w:val="en-US" w:eastAsia="zh-CN"/>
        </w:rPr>
        <w:t>我方</w:t>
      </w:r>
      <w:r>
        <w:rPr>
          <w:rFonts w:hint="eastAsia"/>
          <w:color w:val="auto"/>
          <w:highlight w:val="none"/>
        </w:rPr>
        <w:t>提供的送达地址不准确</w:t>
      </w:r>
      <w:r>
        <w:rPr>
          <w:rFonts w:hint="eastAsia"/>
          <w:color w:val="auto"/>
          <w:highlight w:val="none"/>
          <w:lang w:eastAsia="zh-CN"/>
        </w:rPr>
        <w:t>、</w:t>
      </w:r>
      <w:r>
        <w:rPr>
          <w:rFonts w:hint="eastAsia"/>
          <w:color w:val="auto"/>
          <w:highlight w:val="none"/>
        </w:rPr>
        <w:t>拒不提供送达地址、送达地址变更未及时告知</w:t>
      </w:r>
      <w:r>
        <w:rPr>
          <w:rFonts w:hint="eastAsia"/>
          <w:color w:val="auto"/>
          <w:highlight w:val="none"/>
          <w:lang w:val="en-US" w:eastAsia="zh-CN"/>
        </w:rPr>
        <w:t>招标代理机构</w:t>
      </w:r>
      <w:r>
        <w:rPr>
          <w:rFonts w:hint="eastAsia"/>
          <w:color w:val="auto"/>
          <w:highlight w:val="none"/>
        </w:rPr>
        <w:t>、受送达人本人或者受送达人指定的代收人拒绝签收，导致</w:t>
      </w:r>
      <w:r>
        <w:rPr>
          <w:rFonts w:hint="eastAsia"/>
          <w:color w:val="auto"/>
          <w:highlight w:val="none"/>
          <w:lang w:val="en-US" w:eastAsia="zh-CN"/>
        </w:rPr>
        <w:t>采购</w:t>
      </w:r>
      <w:r>
        <w:rPr>
          <w:rFonts w:hint="eastAsia"/>
          <w:color w:val="auto"/>
          <w:highlight w:val="none"/>
        </w:rPr>
        <w:t>文书</w:t>
      </w:r>
      <w:r>
        <w:rPr>
          <w:rFonts w:hint="eastAsia"/>
          <w:color w:val="auto"/>
          <w:highlight w:val="none"/>
          <w:lang w:val="en-US" w:eastAsia="zh-CN"/>
        </w:rPr>
        <w:t>等资料</w:t>
      </w:r>
      <w:r>
        <w:rPr>
          <w:rFonts w:hint="eastAsia"/>
          <w:color w:val="auto"/>
          <w:highlight w:val="none"/>
        </w:rPr>
        <w:t>未能被受送达人实际接收的，</w:t>
      </w:r>
      <w:r>
        <w:rPr>
          <w:rFonts w:hint="eastAsia"/>
          <w:color w:val="auto"/>
          <w:highlight w:val="none"/>
          <w:lang w:val="en-US" w:eastAsia="zh-CN"/>
        </w:rPr>
        <w:t>采购</w:t>
      </w:r>
      <w:r>
        <w:rPr>
          <w:rFonts w:hint="eastAsia"/>
          <w:color w:val="auto"/>
          <w:highlight w:val="none"/>
        </w:rPr>
        <w:t>文书退回之日视为送达之日。邮寄送达的，邮件回执上注明的退回之日视为送达之日</w:t>
      </w:r>
      <w:r>
        <w:rPr>
          <w:rFonts w:hint="eastAsia"/>
          <w:color w:val="auto"/>
          <w:highlight w:val="none"/>
          <w:lang w:eastAsia="zh-CN"/>
        </w:rPr>
        <w:t>；</w:t>
      </w:r>
      <w:r>
        <w:rPr>
          <w:rFonts w:hint="eastAsia"/>
          <w:color w:val="auto"/>
          <w:highlight w:val="none"/>
        </w:rPr>
        <w:t>直接送达的，送达人当场在送达</w:t>
      </w:r>
      <w:r>
        <w:rPr>
          <w:rFonts w:hint="eastAsia"/>
          <w:color w:val="auto"/>
          <w:highlight w:val="none"/>
          <w:lang w:val="en-US" w:eastAsia="zh-CN"/>
        </w:rPr>
        <w:t>回执</w:t>
      </w:r>
      <w:r>
        <w:rPr>
          <w:rFonts w:hint="eastAsia"/>
          <w:color w:val="auto"/>
          <w:highlight w:val="none"/>
        </w:rPr>
        <w:t>上</w:t>
      </w:r>
      <w:r>
        <w:rPr>
          <w:rFonts w:hint="eastAsia"/>
          <w:color w:val="auto"/>
          <w:highlight w:val="none"/>
          <w:lang w:val="en-US" w:eastAsia="zh-CN"/>
        </w:rPr>
        <w:t>签收</w:t>
      </w:r>
      <w:r>
        <w:rPr>
          <w:rFonts w:hint="eastAsia"/>
          <w:color w:val="auto"/>
          <w:highlight w:val="none"/>
        </w:rPr>
        <w:t>之日视为送达之日。</w:t>
      </w:r>
    </w:p>
    <w:p>
      <w:pPr>
        <w:pStyle w:val="39"/>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color w:val="auto"/>
          <w:highlight w:val="none"/>
          <w:lang w:val="en-US" w:eastAsia="zh-CN"/>
        </w:rPr>
        <w:t>6.我方完全接受和满足本项目招标文件中规定的实质性要求，如对招标文件有异议，已经在投标</w:t>
      </w:r>
      <w:r>
        <w:rPr>
          <w:rFonts w:hint="eastAsia"/>
          <w:color w:val="auto"/>
          <w:highlight w:val="none"/>
        </w:rPr>
        <w:t>截止时间届满前依法进行维权救济，不存在对</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有异议的同时又参加</w:t>
      </w:r>
      <w:r>
        <w:rPr>
          <w:rFonts w:hint="eastAsia"/>
          <w:color w:val="auto"/>
          <w:highlight w:val="none"/>
          <w:lang w:val="en-US" w:eastAsia="zh-CN"/>
        </w:rPr>
        <w:t>投标</w:t>
      </w:r>
      <w:r>
        <w:rPr>
          <w:rFonts w:hint="eastAsia"/>
          <w:color w:val="auto"/>
          <w:highlight w:val="none"/>
        </w:rPr>
        <w:t>以求侥幸</w:t>
      </w:r>
      <w:r>
        <w:rPr>
          <w:rFonts w:hint="eastAsia"/>
          <w:color w:val="auto"/>
          <w:highlight w:val="none"/>
          <w:lang w:val="en-US" w:eastAsia="zh-CN"/>
        </w:rPr>
        <w:t>中标</w:t>
      </w:r>
      <w:r>
        <w:rPr>
          <w:rFonts w:hint="eastAsia"/>
          <w:color w:val="auto"/>
          <w:highlight w:val="none"/>
        </w:rPr>
        <w:t>或者为实现其他非法目的的行为。</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联系人：</w:t>
      </w:r>
      <w:r>
        <w:rPr>
          <w:rFonts w:hint="eastAsia" w:cs="宋体"/>
          <w:bCs/>
          <w:color w:val="auto"/>
          <w:highlight w:val="none"/>
          <w:u w:val="single"/>
        </w:rPr>
        <w:t xml:space="preserve">          </w:t>
      </w:r>
      <w:r>
        <w:rPr>
          <w:rFonts w:hint="eastAsia" w:cs="宋体"/>
          <w:bCs/>
          <w:color w:val="auto"/>
          <w:highlight w:val="none"/>
          <w:u w:val="single"/>
          <w:lang w:val="en-US" w:eastAsia="zh-CN"/>
        </w:rPr>
        <w:t xml:space="preserve">  </w:t>
      </w:r>
      <w:r>
        <w:rPr>
          <w:rFonts w:hint="eastAsia" w:cs="宋体"/>
          <w:bCs/>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0" w:name="_Toc2486"/>
      <w:r>
        <w:rPr>
          <w:rFonts w:hint="eastAsia"/>
          <w:color w:val="auto"/>
          <w:highlight w:val="none"/>
          <w:lang w:val="en-US" w:eastAsia="zh-CN"/>
        </w:rPr>
        <w:t>实质性要求承诺</w:t>
      </w:r>
      <w:bookmarkEnd w:id="910"/>
    </w:p>
    <w:p>
      <w:pPr>
        <w:pStyle w:val="26"/>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9"/>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参加本次采购活动，不存在与单位负责人为同一人或者存在直接控股、管理关系的其他供应商参与同一合同项下的政府采购活动的行为。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参加本次采购活动前本单位未对本次采购项目提供过整体设计、规范编制或者项目管理、监理、检测等服务。</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参加本次采购活动，不存在和其他供应商在同一合同项下的采购项目中，同时委托同一个自然人、同一家庭的人员、同一单位的人员作为代理人的行为。</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我方投标</w:t>
      </w:r>
      <w:r>
        <w:rPr>
          <w:rFonts w:hint="eastAsia"/>
          <w:color w:val="auto"/>
          <w:highlight w:val="none"/>
        </w:rPr>
        <w:t>文件中提供的任何资料和技术、服务、商务等响应承诺情况都是真实的、有效的、合法的。</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费用”、“合同分包”、“合同转包”、</w:t>
      </w:r>
      <w:r>
        <w:rPr>
          <w:rFonts w:hint="eastAsia"/>
          <w:color w:val="auto"/>
          <w:highlight w:val="none"/>
          <w:lang w:eastAsia="zh-CN"/>
        </w:rPr>
        <w:t>“</w:t>
      </w:r>
      <w:r>
        <w:rPr>
          <w:rFonts w:hint="eastAsia"/>
          <w:color w:val="auto"/>
          <w:highlight w:val="none"/>
          <w:lang w:val="en-US" w:eastAsia="zh-CN"/>
        </w:rPr>
        <w:t>合同定价方式</w:t>
      </w:r>
      <w:r>
        <w:rPr>
          <w:rFonts w:hint="eastAsia"/>
          <w:color w:val="auto"/>
          <w:highlight w:val="none"/>
          <w:lang w:eastAsia="zh-CN"/>
        </w:rPr>
        <w:t>”、</w:t>
      </w:r>
      <w:r>
        <w:rPr>
          <w:rFonts w:hint="eastAsia"/>
          <w:color w:val="auto"/>
          <w:highlight w:val="none"/>
        </w:rPr>
        <w:t>“履约保证金”</w:t>
      </w:r>
      <w:r>
        <w:rPr>
          <w:rFonts w:hint="eastAsia"/>
          <w:color w:val="auto"/>
          <w:highlight w:val="none"/>
          <w:lang w:val="en-US" w:eastAsia="zh-CN"/>
        </w:rPr>
        <w:t>等</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政府采购合同</w:t>
      </w:r>
      <w:r>
        <w:rPr>
          <w:rFonts w:hint="eastAsia"/>
          <w:color w:val="auto"/>
          <w:highlight w:val="none"/>
        </w:rPr>
        <w:t>要求履行。</w:t>
      </w:r>
    </w:p>
    <w:p>
      <w:pPr>
        <w:pStyle w:val="39"/>
        <w:keepNext w:val="0"/>
        <w:keepLines w:val="0"/>
        <w:pageBreakBefore w:val="0"/>
        <w:widowControl w:val="0"/>
        <w:numPr>
          <w:ilvl w:val="2"/>
          <w:numId w:val="25"/>
        </w:numPr>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我方保证在本项目使用的任何产品和服务</w:t>
      </w:r>
      <w:r>
        <w:rPr>
          <w:rFonts w:hint="eastAsia"/>
          <w:color w:val="auto"/>
          <w:highlight w:val="none"/>
          <w:lang w:eastAsia="zh-CN"/>
        </w:rPr>
        <w:t>(</w:t>
      </w:r>
      <w:r>
        <w:rPr>
          <w:rFonts w:hint="eastAsia"/>
          <w:color w:val="auto"/>
          <w:highlight w:val="none"/>
        </w:rPr>
        <w:t>包括部分使用</w:t>
      </w:r>
      <w:r>
        <w:rPr>
          <w:rFonts w:hint="eastAsia"/>
          <w:color w:val="auto"/>
          <w:highlight w:val="none"/>
          <w:lang w:eastAsia="zh-CN"/>
        </w:rPr>
        <w:t>)</w:t>
      </w:r>
      <w:r>
        <w:rPr>
          <w:rFonts w:hint="eastAsia"/>
          <w:color w:val="auto"/>
          <w:highlight w:val="none"/>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w:t>
      </w:r>
      <w:r>
        <w:rPr>
          <w:rFonts w:hint="eastAsia"/>
          <w:color w:val="auto"/>
          <w:highlight w:val="none"/>
          <w:lang w:val="en-US" w:eastAsia="zh-CN"/>
        </w:rPr>
        <w:t>相关</w:t>
      </w:r>
      <w:r>
        <w:rPr>
          <w:rFonts w:hint="eastAsia"/>
          <w:color w:val="auto"/>
          <w:highlight w:val="none"/>
        </w:rPr>
        <w:t>技术文档，并提供无限期技术支持，采购人享有永久使用权</w:t>
      </w:r>
      <w:r>
        <w:rPr>
          <w:rFonts w:hint="eastAsia"/>
          <w:color w:val="auto"/>
          <w:highlight w:val="none"/>
          <w:lang w:eastAsia="zh-CN"/>
        </w:rPr>
        <w:t>(</w:t>
      </w:r>
      <w:r>
        <w:rPr>
          <w:rFonts w:hint="eastAsia"/>
          <w:color w:val="auto"/>
          <w:highlight w:val="none"/>
        </w:rPr>
        <w:t>含采购人委托第三方在该项目后续开发的使用权</w:t>
      </w:r>
      <w:r>
        <w:rPr>
          <w:rFonts w:hint="eastAsia"/>
          <w:color w:val="auto"/>
          <w:highlight w:val="none"/>
          <w:lang w:eastAsia="zh-CN"/>
        </w:rPr>
        <w:t>)</w:t>
      </w:r>
      <w:r>
        <w:rPr>
          <w:rFonts w:hint="eastAsia"/>
          <w:color w:val="auto"/>
          <w:highlight w:val="none"/>
        </w:rPr>
        <w:t>。如我方在项目实施过程中采用非自有的知识产权，则在投标报价中已包括合法获取该知识产权的相关费用。</w:t>
      </w:r>
    </w:p>
    <w:p>
      <w:pPr>
        <w:pStyle w:val="29"/>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p>
    <w:p>
      <w:pPr>
        <w:rPr>
          <w:rFonts w:hint="eastAsia" w:ascii="宋体" w:hAnsi="宋体" w:eastAsia="宋体"/>
          <w:color w:val="auto"/>
          <w:highlight w:val="none"/>
        </w:rPr>
      </w:pPr>
      <w:r>
        <w:rPr>
          <w:rFonts w:hint="eastAsia" w:ascii="宋体" w:hAnsi="宋体" w:eastAsia="宋体"/>
          <w:color w:val="auto"/>
          <w:highlight w:val="none"/>
        </w:rPr>
        <w:br w:type="page"/>
      </w:r>
    </w:p>
    <w:p>
      <w:pPr>
        <w:pStyle w:val="47"/>
        <w:numPr>
          <w:ilvl w:val="0"/>
          <w:numId w:val="23"/>
        </w:numPr>
        <w:bidi w:val="0"/>
        <w:ind w:left="0" w:leftChars="0" w:firstLine="0" w:firstLineChars="0"/>
        <w:rPr>
          <w:rFonts w:hint="eastAsia"/>
          <w:color w:val="auto"/>
          <w:highlight w:val="none"/>
          <w:lang w:val="en-US" w:eastAsia="zh-CN"/>
        </w:rPr>
      </w:pPr>
      <w:bookmarkStart w:id="911" w:name="_Toc6982"/>
      <w:bookmarkStart w:id="912" w:name="_Toc10493"/>
      <w:bookmarkStart w:id="913" w:name="_Toc302997926"/>
      <w:bookmarkStart w:id="914" w:name="_Toc5912"/>
      <w:bookmarkStart w:id="915" w:name="_Toc439161752"/>
      <w:bookmarkStart w:id="916" w:name="_Toc31836"/>
      <w:bookmarkStart w:id="917" w:name="_Toc3690"/>
      <w:r>
        <w:rPr>
          <w:rFonts w:hint="eastAsia"/>
          <w:color w:val="auto"/>
          <w:highlight w:val="none"/>
          <w:lang w:val="en-US" w:eastAsia="zh-CN"/>
        </w:rPr>
        <w:t>投标人基本情况表</w:t>
      </w:r>
      <w:bookmarkEnd w:id="911"/>
      <w:bookmarkEnd w:id="912"/>
      <w:bookmarkEnd w:id="913"/>
      <w:bookmarkEnd w:id="914"/>
      <w:bookmarkEnd w:id="915"/>
      <w:bookmarkEnd w:id="916"/>
      <w:bookmarkEnd w:id="917"/>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8"/>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48"/>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47"/>
        <w:numPr>
          <w:ilvl w:val="0"/>
          <w:numId w:val="23"/>
        </w:numPr>
        <w:bidi w:val="0"/>
        <w:ind w:left="0" w:leftChars="0" w:firstLine="0" w:firstLineChars="0"/>
        <w:rPr>
          <w:rFonts w:hint="eastAsia"/>
          <w:color w:val="auto"/>
          <w:highlight w:val="none"/>
          <w:lang w:val="en-US" w:eastAsia="zh-CN"/>
        </w:rPr>
      </w:pPr>
      <w:bookmarkStart w:id="918" w:name="_Toc25142"/>
      <w:r>
        <w:rPr>
          <w:rFonts w:hint="eastAsia"/>
          <w:color w:val="auto"/>
          <w:highlight w:val="none"/>
          <w:lang w:val="en-US" w:eastAsia="zh-CN"/>
        </w:rPr>
        <w:t>开标一览表</w:t>
      </w:r>
      <w:bookmarkEnd w:id="906"/>
      <w:bookmarkEnd w:id="907"/>
      <w:bookmarkEnd w:id="908"/>
      <w:bookmarkEnd w:id="909"/>
      <w:bookmarkEnd w:id="918"/>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599"/>
        <w:gridCol w:w="1808"/>
        <w:gridCol w:w="4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2" w:type="pct"/>
            <w:gridSpan w:val="2"/>
            <w:vAlign w:val="center"/>
          </w:tcPr>
          <w:p>
            <w:pPr>
              <w:pStyle w:val="48"/>
              <w:bidi w:val="0"/>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服务内容</w:t>
            </w:r>
          </w:p>
        </w:tc>
        <w:tc>
          <w:tcPr>
            <w:tcW w:w="909" w:type="pct"/>
            <w:vAlign w:val="center"/>
          </w:tcPr>
          <w:p>
            <w:pPr>
              <w:pStyle w:val="48"/>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体检人次</w:t>
            </w:r>
          </w:p>
        </w:tc>
        <w:tc>
          <w:tcPr>
            <w:tcW w:w="2377" w:type="pct"/>
            <w:vAlign w:val="center"/>
          </w:tcPr>
          <w:p>
            <w:pPr>
              <w:pStyle w:val="48"/>
              <w:bidi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报价(元/人次)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restar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2022年教职工(含离退休职工)健康体检服务</w:t>
            </w: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40岁以下在职男</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color w:val="auto"/>
                <w:highlight w:val="none"/>
              </w:rPr>
            </w:pPr>
          </w:p>
        </w:tc>
        <w:tc>
          <w:tcPr>
            <w:tcW w:w="1307" w:type="pct"/>
            <w:vAlign w:val="center"/>
          </w:tcPr>
          <w:p>
            <w:pPr>
              <w:pStyle w:val="26"/>
              <w:bidi w:val="0"/>
              <w:jc w:val="center"/>
              <w:rPr>
                <w:color w:val="auto"/>
                <w:highlight w:val="none"/>
              </w:rPr>
            </w:pPr>
            <w:r>
              <w:rPr>
                <w:rFonts w:hint="eastAsia" w:ascii="宋体" w:hAnsi="宋体" w:eastAsia="宋体" w:cs="宋体"/>
                <w:color w:val="auto"/>
                <w:sz w:val="21"/>
                <w:szCs w:val="21"/>
                <w:highlight w:val="none"/>
              </w:rPr>
              <w:t>40岁以下在职</w:t>
            </w:r>
            <w:r>
              <w:rPr>
                <w:rFonts w:hint="eastAsia" w:ascii="宋体" w:hAnsi="宋体" w:eastAsia="宋体" w:cs="宋体"/>
                <w:color w:val="auto"/>
                <w:sz w:val="21"/>
                <w:szCs w:val="21"/>
                <w:highlight w:val="none"/>
                <w:lang w:val="en-US" w:eastAsia="zh-CN"/>
              </w:rPr>
              <w:t>已婚女</w:t>
            </w:r>
          </w:p>
        </w:tc>
        <w:tc>
          <w:tcPr>
            <w:tcW w:w="909" w:type="pct"/>
            <w:vAlign w:val="center"/>
          </w:tcPr>
          <w:p>
            <w:pPr>
              <w:pStyle w:val="26"/>
              <w:bidi w:val="0"/>
              <w:jc w:val="center"/>
              <w:rPr>
                <w:color w:val="auto"/>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40岁以下在职</w:t>
            </w:r>
            <w:r>
              <w:rPr>
                <w:rFonts w:hint="eastAsia" w:ascii="宋体" w:hAnsi="宋体" w:eastAsia="宋体" w:cs="宋体"/>
                <w:color w:val="auto"/>
                <w:sz w:val="21"/>
                <w:szCs w:val="21"/>
                <w:highlight w:val="none"/>
                <w:lang w:val="en-US" w:eastAsia="zh-CN"/>
              </w:rPr>
              <w:t>未婚女</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在职男</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w:t>
            </w:r>
            <w:r>
              <w:rPr>
                <w:rFonts w:hint="eastAsia" w:ascii="宋体" w:hAnsi="宋体" w:eastAsia="宋体" w:cs="宋体"/>
                <w:color w:val="auto"/>
                <w:sz w:val="21"/>
                <w:szCs w:val="21"/>
                <w:highlight w:val="none"/>
                <w:lang w:val="en-US" w:eastAsia="zh-CN"/>
              </w:rPr>
              <w:t>已婚女</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w:t>
            </w:r>
            <w:r>
              <w:rPr>
                <w:rFonts w:hint="eastAsia" w:ascii="宋体" w:hAnsi="宋体" w:eastAsia="宋体" w:cs="宋体"/>
                <w:color w:val="auto"/>
                <w:sz w:val="21"/>
                <w:szCs w:val="21"/>
                <w:highlight w:val="none"/>
                <w:lang w:val="en-US" w:eastAsia="zh-CN"/>
              </w:rPr>
              <w:t>未婚女</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退休职工男</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vAlign w:val="center"/>
          </w:tcPr>
          <w:p>
            <w:pPr>
              <w:pStyle w:val="26"/>
              <w:bidi w:val="0"/>
              <w:rPr>
                <w:rFonts w:hint="eastAsia" w:ascii="宋体" w:hAnsi="宋体" w:eastAsia="宋体" w:cs="宋体"/>
                <w:color w:val="auto"/>
                <w:sz w:val="21"/>
                <w:szCs w:val="21"/>
                <w:highlight w:val="none"/>
              </w:rPr>
            </w:pPr>
          </w:p>
        </w:tc>
        <w:tc>
          <w:tcPr>
            <w:tcW w:w="1307" w:type="pct"/>
            <w:vAlign w:val="center"/>
          </w:tcPr>
          <w:p>
            <w:pPr>
              <w:pStyle w:val="26"/>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退休职工</w:t>
            </w:r>
            <w:r>
              <w:rPr>
                <w:rFonts w:hint="eastAsia" w:ascii="宋体" w:hAnsi="宋体" w:eastAsia="宋体" w:cs="宋体"/>
                <w:color w:val="auto"/>
                <w:sz w:val="21"/>
                <w:szCs w:val="21"/>
                <w:highlight w:val="none"/>
                <w:lang w:val="en-US" w:eastAsia="zh-CN"/>
              </w:rPr>
              <w:t>女</w:t>
            </w:r>
          </w:p>
        </w:tc>
        <w:tc>
          <w:tcPr>
            <w:tcW w:w="909" w:type="pct"/>
            <w:vAlign w:val="center"/>
          </w:tcPr>
          <w:p>
            <w:pPr>
              <w:pStyle w:val="26"/>
              <w:bidi w:val="0"/>
              <w:jc w:val="center"/>
              <w:rPr>
                <w:rFonts w:hint="eastAsia" w:ascii="宋体" w:hAnsi="宋体" w:eastAsia="宋体" w:cs="宋体"/>
                <w:color w:val="auto"/>
                <w:sz w:val="21"/>
                <w:szCs w:val="21"/>
                <w:highlight w:val="none"/>
              </w:rPr>
            </w:pPr>
          </w:p>
        </w:tc>
        <w:tc>
          <w:tcPr>
            <w:tcW w:w="2377" w:type="pct"/>
            <w:vAlign w:val="center"/>
          </w:tcPr>
          <w:p>
            <w:pPr>
              <w:pStyle w:val="26"/>
              <w:bidi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元/人次(大写：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4"/>
            <w:vAlign w:val="center"/>
          </w:tcPr>
          <w:p>
            <w:pPr>
              <w:pStyle w:val="26"/>
              <w:bidi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备注：体检人次填写为投标人根据第六章“</w:t>
            </w:r>
            <w:r>
              <w:rPr>
                <w:rFonts w:hint="eastAsia" w:ascii="宋体" w:hAnsi="宋体" w:eastAsia="宋体" w:cs="宋体"/>
                <w:b/>
                <w:bCs/>
                <w:i w:val="0"/>
                <w:iCs w:val="0"/>
                <w:color w:val="auto"/>
                <w:kern w:val="0"/>
                <w:sz w:val="21"/>
                <w:szCs w:val="21"/>
                <w:highlight w:val="none"/>
                <w:u w:val="none"/>
                <w:lang w:val="en-US" w:eastAsia="zh-CN" w:bidi="ar"/>
              </w:rPr>
              <w:t>体检价格测算表</w:t>
            </w:r>
            <w:r>
              <w:rPr>
                <w:rFonts w:hint="eastAsia" w:ascii="宋体" w:hAnsi="宋体" w:eastAsia="宋体" w:cs="宋体"/>
                <w:b/>
                <w:bCs/>
                <w:color w:val="auto"/>
                <w:sz w:val="21"/>
                <w:szCs w:val="21"/>
                <w:highlight w:val="none"/>
                <w:lang w:val="en-US" w:eastAsia="zh-CN"/>
              </w:rPr>
              <w:t>”中各类合计金额/投标人所报价格；不保留小数点，有余数的收为整数。所报单价不得超过本项目单价最高限价</w:t>
            </w:r>
            <w:r>
              <w:rPr>
                <w:rFonts w:hint="default" w:cs="宋体"/>
                <w:b/>
                <w:bCs/>
                <w:color w:val="auto"/>
                <w:sz w:val="21"/>
                <w:szCs w:val="21"/>
                <w:highlight w:val="none"/>
                <w:lang w:val="en-US" w:eastAsia="zh-CN"/>
              </w:rPr>
              <w:t>,</w:t>
            </w:r>
            <w:r>
              <w:rPr>
                <w:rFonts w:hint="eastAsia" w:cs="宋体"/>
                <w:b/>
                <w:bCs/>
                <w:color w:val="auto"/>
                <w:sz w:val="21"/>
                <w:szCs w:val="21"/>
                <w:highlight w:val="none"/>
                <w:lang w:val="en-US" w:eastAsia="zh-CN"/>
              </w:rPr>
              <w:t>超过则视为无效报价</w:t>
            </w:r>
            <w:r>
              <w:rPr>
                <w:rFonts w:hint="eastAsia" w:ascii="宋体" w:hAnsi="宋体" w:eastAsia="宋体" w:cs="宋体"/>
                <w:b/>
                <w:bCs/>
                <w:color w:val="auto"/>
                <w:sz w:val="21"/>
                <w:szCs w:val="21"/>
                <w:highlight w:val="none"/>
                <w:lang w:val="en-US" w:eastAsia="zh-CN"/>
              </w:rPr>
              <w:t>；未填写或所报人次低于“体检价格测算</w:t>
            </w:r>
            <w:r>
              <w:rPr>
                <w:rFonts w:hint="eastAsia" w:cs="宋体"/>
                <w:b/>
                <w:bCs/>
                <w:color w:val="auto"/>
                <w:sz w:val="21"/>
                <w:szCs w:val="21"/>
                <w:highlight w:val="none"/>
                <w:lang w:val="en-US" w:eastAsia="zh-CN"/>
              </w:rPr>
              <w:t>表</w:t>
            </w:r>
            <w:r>
              <w:rPr>
                <w:rFonts w:hint="eastAsia" w:ascii="宋体" w:hAnsi="宋体" w:eastAsia="宋体" w:cs="宋体"/>
                <w:b/>
                <w:bCs/>
                <w:color w:val="auto"/>
                <w:sz w:val="21"/>
                <w:szCs w:val="21"/>
                <w:highlight w:val="none"/>
                <w:lang w:val="en-US" w:eastAsia="zh-CN"/>
              </w:rPr>
              <w:t>”中体检人次视为无效报价。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4"/>
            <w:vAlign w:val="center"/>
          </w:tcPr>
          <w:p>
            <w:pPr>
              <w:pStyle w:val="26"/>
              <w:bidi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履约</w:t>
            </w:r>
            <w:r>
              <w:rPr>
                <w:rFonts w:hint="eastAsia" w:cs="宋体"/>
                <w:b/>
                <w:bCs/>
                <w:color w:val="auto"/>
                <w:sz w:val="21"/>
                <w:szCs w:val="21"/>
                <w:highlight w:val="none"/>
                <w:lang w:val="en-US" w:eastAsia="zh-CN"/>
              </w:rPr>
              <w:t>期限</w:t>
            </w:r>
            <w:r>
              <w:rPr>
                <w:rFonts w:hint="eastAsia" w:ascii="宋体" w:hAnsi="宋体" w:eastAsia="宋体" w:cs="宋体"/>
                <w:b/>
                <w:bCs/>
                <w:color w:val="auto"/>
                <w:sz w:val="21"/>
                <w:szCs w:val="21"/>
                <w:highlight w:val="none"/>
                <w:lang w:val="en-US" w:eastAsia="zh-CN"/>
              </w:rPr>
              <w:t>：自合同签订之日起3年。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4"/>
            <w:vAlign w:val="center"/>
          </w:tcPr>
          <w:p>
            <w:pPr>
              <w:pStyle w:val="26"/>
              <w:bidi w:val="0"/>
              <w:rPr>
                <w:rFonts w:hint="eastAsia" w:cs="宋体"/>
                <w:b/>
                <w:bCs/>
                <w:color w:val="auto"/>
                <w:sz w:val="21"/>
                <w:szCs w:val="21"/>
                <w:highlight w:val="none"/>
                <w:lang w:val="en-US" w:eastAsia="zh-CN"/>
              </w:rPr>
            </w:pPr>
            <w:r>
              <w:rPr>
                <w:rFonts w:hint="eastAsia" w:cs="宋体"/>
                <w:b/>
                <w:bCs/>
                <w:color w:val="auto"/>
                <w:sz w:val="21"/>
                <w:szCs w:val="21"/>
                <w:highlight w:val="none"/>
                <w:lang w:val="en-US" w:eastAsia="zh-CN"/>
              </w:rPr>
              <w:t>履约地点：</w:t>
            </w:r>
          </w:p>
          <w:p>
            <w:pPr>
              <w:pStyle w:val="26"/>
              <w:bidi w:val="0"/>
              <w:rPr>
                <w:rFonts w:hint="eastAsia" w:cs="宋体"/>
                <w:b/>
                <w:bCs/>
                <w:color w:val="auto"/>
                <w:sz w:val="21"/>
                <w:szCs w:val="21"/>
                <w:highlight w:val="none"/>
                <w:lang w:val="en-US" w:eastAsia="zh-CN"/>
              </w:rPr>
            </w:pPr>
            <w:r>
              <w:rPr>
                <w:rFonts w:hint="eastAsia" w:cs="宋体"/>
                <w:b/>
                <w:bCs/>
                <w:color w:val="auto"/>
                <w:sz w:val="21"/>
                <w:szCs w:val="21"/>
                <w:highlight w:val="none"/>
                <w:lang w:val="en-US" w:eastAsia="zh-CN"/>
              </w:rPr>
              <w:t>①讲解、培训、报告配送地址：郫都区红光镇港通北三路1899号；</w:t>
            </w:r>
          </w:p>
          <w:p>
            <w:pPr>
              <w:pStyle w:val="26"/>
              <w:bidi w:val="0"/>
              <w:rPr>
                <w:rFonts w:hint="eastAsia" w:cs="宋体"/>
                <w:b/>
                <w:bCs/>
                <w:color w:val="auto"/>
                <w:sz w:val="21"/>
                <w:szCs w:val="21"/>
                <w:highlight w:val="none"/>
                <w:lang w:val="en-US" w:eastAsia="zh-CN"/>
              </w:rPr>
            </w:pPr>
            <w:r>
              <w:rPr>
                <w:rFonts w:hint="eastAsia" w:cs="宋体"/>
                <w:b/>
                <w:bCs/>
                <w:color w:val="auto"/>
                <w:sz w:val="21"/>
                <w:szCs w:val="21"/>
                <w:highlight w:val="none"/>
                <w:lang w:val="en-US" w:eastAsia="zh-CN"/>
              </w:rPr>
              <w:t>②体检地址：中标供应商体检场所。</w:t>
            </w:r>
          </w:p>
        </w:tc>
      </w:tr>
    </w:tbl>
    <w:p>
      <w:pPr>
        <w:pStyle w:val="49"/>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①报价(单人体检单价)是单人体检工作内容的全部体现，包含人员、体检、设备、耗材、早餐、税费、招标代理服务费、利润等完成单人体检所需的一切费用</w:t>
      </w:r>
      <w:r>
        <w:rPr>
          <w:rFonts w:hint="eastAsia"/>
          <w:b w:val="0"/>
          <w:bCs/>
          <w:color w:val="auto"/>
          <w:highlight w:val="none"/>
        </w:rPr>
        <w:t>。</w:t>
      </w:r>
    </w:p>
    <w:p>
      <w:pPr>
        <w:pStyle w:val="49"/>
        <w:bidi w:val="0"/>
        <w:rPr>
          <w:rFonts w:hint="default"/>
          <w:b w:val="0"/>
          <w:bCs/>
          <w:color w:val="auto"/>
          <w:highlight w:val="none"/>
          <w:lang w:val="en-US"/>
        </w:rPr>
      </w:pPr>
      <w:r>
        <w:rPr>
          <w:rFonts w:hint="eastAsia"/>
          <w:b w:val="0"/>
          <w:bCs/>
          <w:color w:val="auto"/>
          <w:highlight w:val="none"/>
          <w:lang w:val="en-US" w:eastAsia="zh-CN"/>
        </w:rPr>
        <w:t>②</w:t>
      </w:r>
      <w:r>
        <w:rPr>
          <w:rFonts w:hint="eastAsia"/>
          <w:b w:val="0"/>
          <w:bCs/>
          <w:color w:val="auto"/>
          <w:highlight w:val="none"/>
        </w:rPr>
        <w:t>“开标一览表”为多页的，每页均需由</w:t>
      </w:r>
      <w:r>
        <w:rPr>
          <w:rFonts w:hint="eastAsia"/>
          <w:b w:val="0"/>
          <w:bCs/>
          <w:color w:val="auto"/>
          <w:highlight w:val="none"/>
          <w:lang w:eastAsia="zh-CN"/>
        </w:rPr>
        <w:t>法定代表人/单位负责人或授权代表</w:t>
      </w:r>
      <w:r>
        <w:rPr>
          <w:rFonts w:hint="eastAsia"/>
          <w:b w:val="0"/>
          <w:bCs/>
          <w:color w:val="auto"/>
          <w:highlight w:val="none"/>
        </w:rPr>
        <w:t>签字并盖投标人印章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49"/>
        <w:bidi w:val="0"/>
        <w:rPr>
          <w:color w:val="auto"/>
          <w:highlight w:val="none"/>
        </w:rPr>
      </w:pPr>
      <w:r>
        <w:rPr>
          <w:rFonts w:hint="eastAsia"/>
          <w:color w:val="auto"/>
          <w:highlight w:val="none"/>
        </w:rPr>
        <w:t>③“开标一览表”除了单独密封递交外，</w:t>
      </w:r>
      <w:r>
        <w:rPr>
          <w:rFonts w:hint="eastAsia"/>
          <w:color w:val="auto"/>
          <w:highlight w:val="none"/>
          <w:lang w:val="en-US" w:eastAsia="zh-CN"/>
        </w:rPr>
        <w:t>其他</w:t>
      </w:r>
      <w:r>
        <w:rPr>
          <w:rFonts w:hint="eastAsia"/>
          <w:color w:val="auto"/>
          <w:highlight w:val="none"/>
        </w:rPr>
        <w:t>投标文件(正副本)</w:t>
      </w:r>
      <w:r>
        <w:rPr>
          <w:rFonts w:hint="eastAsia"/>
          <w:color w:val="auto"/>
          <w:highlight w:val="none"/>
          <w:lang w:val="en-US" w:eastAsia="zh-CN"/>
        </w:rPr>
        <w:t>中</w:t>
      </w:r>
      <w:r>
        <w:rPr>
          <w:rFonts w:hint="eastAsia"/>
          <w:color w:val="auto"/>
          <w:highlight w:val="none"/>
        </w:rPr>
        <w:t>也应当提供。</w:t>
      </w:r>
    </w:p>
    <w:p>
      <w:pPr>
        <w:pStyle w:val="26"/>
        <w:bidi w:val="0"/>
        <w:rPr>
          <w:rFonts w:hint="eastAsia"/>
          <w:color w:val="auto"/>
          <w:highlight w:val="none"/>
          <w:lang w:eastAsia="zh-CN"/>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919"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bookmarkEnd w:id="919"/>
    <w:p>
      <w:pPr>
        <w:pStyle w:val="47"/>
        <w:numPr>
          <w:ilvl w:val="0"/>
          <w:numId w:val="23"/>
        </w:numPr>
        <w:bidi w:val="0"/>
        <w:ind w:left="0" w:leftChars="0" w:firstLine="0" w:firstLineChars="0"/>
        <w:rPr>
          <w:rFonts w:hint="eastAsia"/>
          <w:color w:val="auto"/>
          <w:highlight w:val="none"/>
          <w:lang w:val="en-US" w:eastAsia="zh-CN"/>
        </w:rPr>
      </w:pPr>
      <w:bookmarkStart w:id="920" w:name="_Toc20084"/>
      <w:bookmarkStart w:id="921" w:name="_Toc21006"/>
      <w:bookmarkStart w:id="922" w:name="_Toc25577"/>
      <w:bookmarkStart w:id="923" w:name="_Toc7835"/>
      <w:bookmarkStart w:id="924" w:name="_Toc11461"/>
      <w:bookmarkStart w:id="925" w:name="_Toc327196310"/>
      <w:bookmarkStart w:id="926" w:name="_Toc217446087"/>
      <w:bookmarkStart w:id="927" w:name="_Toc307501130"/>
      <w:bookmarkStart w:id="928" w:name="_Toc319440166"/>
      <w:bookmarkStart w:id="929" w:name="_Toc307564875"/>
      <w:bookmarkStart w:id="930" w:name="_Toc26124"/>
      <w:bookmarkStart w:id="931" w:name="_Toc327196312"/>
      <w:bookmarkStart w:id="932" w:name="_Toc319440168"/>
      <w:bookmarkStart w:id="933" w:name="_Toc24507"/>
      <w:r>
        <w:rPr>
          <w:rFonts w:hint="eastAsia"/>
          <w:color w:val="auto"/>
          <w:highlight w:val="none"/>
          <w:lang w:val="en-US" w:eastAsia="zh-CN"/>
        </w:rPr>
        <w:t>商务应答表</w:t>
      </w:r>
      <w:bookmarkEnd w:id="920"/>
      <w:bookmarkEnd w:id="921"/>
      <w:bookmarkEnd w:id="922"/>
      <w:bookmarkEnd w:id="923"/>
      <w:bookmarkEnd w:id="924"/>
      <w:bookmarkEnd w:id="925"/>
      <w:bookmarkEnd w:id="926"/>
      <w:bookmarkEnd w:id="927"/>
      <w:bookmarkEnd w:id="928"/>
      <w:bookmarkEnd w:id="929"/>
    </w:p>
    <w:p>
      <w:pPr>
        <w:pStyle w:val="26"/>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266"/>
        <w:gridCol w:w="3695"/>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266"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招标文件第六章“四、商务要求、五、履约保证金”、第八章</w:t>
            </w:r>
            <w:r>
              <w:rPr>
                <w:rFonts w:hint="eastAsia" w:cs="宋体"/>
                <w:b/>
                <w:bCs/>
                <w:color w:val="auto"/>
                <w:sz w:val="21"/>
                <w:highlight w:val="none"/>
                <w:lang w:val="en-US" w:eastAsia="zh-CN"/>
              </w:rPr>
              <w:t>政府</w:t>
            </w:r>
            <w:r>
              <w:rPr>
                <w:rFonts w:hint="eastAsia" w:cs="宋体"/>
                <w:b/>
                <w:bCs/>
                <w:color w:val="auto"/>
                <w:sz w:val="21"/>
                <w:highlight w:val="none"/>
              </w:rPr>
              <w:t>采购合同条款</w:t>
            </w:r>
          </w:p>
        </w:tc>
        <w:tc>
          <w:tcPr>
            <w:tcW w:w="3695"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招标文件第六章“四、商务要求，五、履约保证金”、第八章</w:t>
            </w:r>
            <w:r>
              <w:rPr>
                <w:rFonts w:hint="eastAsia" w:cs="宋体"/>
                <w:color w:val="auto"/>
                <w:sz w:val="21"/>
                <w:szCs w:val="21"/>
                <w:highlight w:val="none"/>
                <w:lang w:val="en-US" w:eastAsia="zh-CN"/>
              </w:rPr>
              <w:t>政府</w:t>
            </w:r>
            <w:r>
              <w:rPr>
                <w:rFonts w:hint="eastAsia" w:cs="宋体"/>
                <w:color w:val="auto"/>
                <w:sz w:val="21"/>
                <w:szCs w:val="21"/>
                <w:highlight w:val="none"/>
              </w:rPr>
              <w:t>采购合同主要条款，如有偏离的条款，均已在下方列出。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266" w:type="dxa"/>
          </w:tcPr>
          <w:p>
            <w:pPr>
              <w:wordWrap w:val="0"/>
              <w:topLinePunct/>
              <w:spacing w:line="360" w:lineRule="exact"/>
              <w:jc w:val="center"/>
              <w:rPr>
                <w:rFonts w:cs="宋体"/>
                <w:b/>
                <w:bCs/>
                <w:color w:val="auto"/>
                <w:sz w:val="21"/>
                <w:highlight w:val="none"/>
              </w:rPr>
            </w:pPr>
          </w:p>
        </w:tc>
        <w:tc>
          <w:tcPr>
            <w:tcW w:w="3695"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49"/>
        <w:ind w:firstLine="482"/>
        <w:rPr>
          <w:rFonts w:cs="宋体"/>
          <w:b w:val="0"/>
          <w:bCs/>
          <w:color w:val="auto"/>
          <w:highlight w:val="none"/>
        </w:rPr>
      </w:pPr>
      <w:r>
        <w:rPr>
          <w:rFonts w:hint="eastAsia" w:cs="宋体"/>
          <w:color w:val="auto"/>
          <w:highlight w:val="none"/>
        </w:rPr>
        <w:t>注：</w:t>
      </w:r>
      <w:r>
        <w:rPr>
          <w:rFonts w:hint="eastAsia" w:cs="宋体"/>
          <w:b w:val="0"/>
          <w:bCs/>
          <w:color w:val="auto"/>
          <w:highlight w:val="none"/>
        </w:rPr>
        <w:t>①如与招标文件第六章“四、商务要求、五、履约保证金”、第八章</w:t>
      </w:r>
      <w:r>
        <w:rPr>
          <w:rFonts w:hint="eastAsia" w:cs="宋体"/>
          <w:b w:val="0"/>
          <w:bCs/>
          <w:color w:val="auto"/>
          <w:highlight w:val="none"/>
          <w:lang w:val="en-US" w:eastAsia="zh-CN"/>
        </w:rPr>
        <w:t>政府</w:t>
      </w:r>
      <w:r>
        <w:rPr>
          <w:rFonts w:hint="eastAsia" w:cs="宋体"/>
          <w:b w:val="0"/>
          <w:bCs/>
          <w:color w:val="auto"/>
          <w:highlight w:val="none"/>
        </w:rPr>
        <w:t>采购合同主要条款有偏离(包括正偏离和负偏离)，</w:t>
      </w:r>
      <w:r>
        <w:rPr>
          <w:rFonts w:hint="eastAsia" w:cs="宋体"/>
          <w:color w:val="auto"/>
          <w:highlight w:val="none"/>
        </w:rPr>
        <w:t>请将偏离条款逐条应答</w:t>
      </w:r>
      <w:r>
        <w:rPr>
          <w:rFonts w:hint="eastAsia" w:cs="宋体"/>
          <w:b w:val="0"/>
          <w:bCs/>
          <w:color w:val="auto"/>
          <w:highlight w:val="none"/>
        </w:rPr>
        <w:t>，未在此表中进行应答或未明确偏离的条款视为默认完全响应和接受，供应商不得以未作应答而拒不接受</w:t>
      </w:r>
      <w:r>
        <w:rPr>
          <w:rFonts w:hint="eastAsia"/>
          <w:color w:val="auto"/>
          <w:highlight w:val="none"/>
        </w:rPr>
        <w:t>(要求提供承诺函或证明材料的条款，以供应商提供的承诺函内容或证明材料为准)</w:t>
      </w:r>
      <w:r>
        <w:rPr>
          <w:rFonts w:hint="eastAsia" w:cs="宋体"/>
          <w:b w:val="0"/>
          <w:bCs/>
          <w:color w:val="auto"/>
          <w:highlight w:val="none"/>
        </w:rPr>
        <w:t>。</w:t>
      </w:r>
    </w:p>
    <w:p>
      <w:pPr>
        <w:pStyle w:val="49"/>
        <w:rPr>
          <w:rFonts w:cs="宋体"/>
          <w:b w:val="0"/>
          <w:bCs/>
          <w:color w:val="auto"/>
          <w:highlight w:val="none"/>
        </w:rPr>
      </w:pPr>
      <w:r>
        <w:rPr>
          <w:rFonts w:hint="eastAsia" w:cs="宋体"/>
          <w:b w:val="0"/>
          <w:bCs/>
          <w:color w:val="auto"/>
          <w:highlight w:val="none"/>
        </w:rPr>
        <w:t>②供应商必须据实填写有偏离的条款，不得虚假应答，否则将取消其</w:t>
      </w:r>
      <w:r>
        <w:rPr>
          <w:rFonts w:hint="eastAsia" w:cs="宋体"/>
          <w:b w:val="0"/>
          <w:bCs/>
          <w:color w:val="auto"/>
          <w:highlight w:val="none"/>
          <w:lang w:val="en-US" w:eastAsia="zh-CN"/>
        </w:rPr>
        <w:t>中标</w:t>
      </w:r>
      <w:r>
        <w:rPr>
          <w:rFonts w:hint="eastAsia" w:cs="宋体"/>
          <w:b w:val="0"/>
          <w:bCs/>
          <w:color w:val="auto"/>
          <w:highlight w:val="none"/>
        </w:rPr>
        <w:t>资格。</w:t>
      </w:r>
    </w:p>
    <w:p>
      <w:pPr>
        <w:pStyle w:val="49"/>
        <w:rPr>
          <w:rFonts w:hint="eastAsia"/>
          <w:color w:val="auto"/>
          <w:highlight w:val="none"/>
          <w:lang w:eastAsia="zh-CN"/>
        </w:rPr>
      </w:pPr>
      <w:r>
        <w:rPr>
          <w:rFonts w:hint="eastAsia" w:cs="宋体"/>
          <w:b w:val="0"/>
          <w:bCs/>
          <w:color w:val="auto"/>
          <w:highlight w:val="none"/>
        </w:rPr>
        <w:t>③评审时如对供应商</w:t>
      </w:r>
      <w:r>
        <w:rPr>
          <w:rFonts w:hint="eastAsia" w:cs="宋体"/>
          <w:b w:val="0"/>
          <w:bCs/>
          <w:color w:val="auto"/>
          <w:highlight w:val="none"/>
          <w:lang w:val="en-US" w:eastAsia="zh-CN"/>
        </w:rPr>
        <w:t>投标</w:t>
      </w:r>
      <w:r>
        <w:rPr>
          <w:rFonts w:hint="eastAsia" w:cs="宋体"/>
          <w:b w:val="0"/>
          <w:bCs/>
          <w:color w:val="auto"/>
          <w:highlight w:val="none"/>
        </w:rPr>
        <w:t>文件中商务应答的内容存在歧义的，可要求供应商进行澄清</w:t>
      </w:r>
      <w:r>
        <w:rPr>
          <w:rFonts w:hint="eastAsia"/>
          <w:color w:val="auto"/>
          <w:highlight w:val="none"/>
        </w:rPr>
        <w:t>。</w:t>
      </w: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numPr>
          <w:ilvl w:val="0"/>
          <w:numId w:val="23"/>
        </w:numPr>
        <w:bidi w:val="0"/>
        <w:ind w:left="0" w:leftChars="0" w:firstLine="0" w:firstLineChars="0"/>
        <w:rPr>
          <w:rFonts w:hint="eastAsia"/>
          <w:color w:val="auto"/>
          <w:highlight w:val="none"/>
          <w:lang w:val="en-US" w:eastAsia="zh-CN"/>
        </w:rPr>
      </w:pPr>
      <w:bookmarkStart w:id="934" w:name="_Toc25122"/>
      <w:bookmarkStart w:id="935" w:name="_Toc3995"/>
      <w:bookmarkStart w:id="936" w:name="_Toc23376"/>
      <w:bookmarkStart w:id="937" w:name="_Toc27334"/>
      <w:r>
        <w:rPr>
          <w:rFonts w:hint="eastAsia"/>
          <w:color w:val="auto"/>
          <w:highlight w:val="none"/>
          <w:lang w:val="en-US" w:eastAsia="zh-CN"/>
        </w:rPr>
        <w:t>服务应答表</w:t>
      </w:r>
      <w:bookmarkEnd w:id="934"/>
      <w:bookmarkEnd w:id="935"/>
      <w:bookmarkEnd w:id="936"/>
      <w:bookmarkEnd w:id="937"/>
    </w:p>
    <w:p>
      <w:pPr>
        <w:pStyle w:val="26"/>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w:t>
            </w:r>
            <w:r>
              <w:rPr>
                <w:rFonts w:hint="eastAsia" w:cs="宋体"/>
                <w:b/>
                <w:bCs/>
                <w:color w:val="auto"/>
                <w:sz w:val="21"/>
                <w:highlight w:val="none"/>
                <w:lang w:val="en-US" w:eastAsia="zh-CN"/>
              </w:rPr>
              <w:t>服务内容及要求</w:t>
            </w:r>
            <w:r>
              <w:rPr>
                <w:rFonts w:hint="eastAsia" w:cs="宋体"/>
                <w:b/>
                <w:bCs/>
                <w:color w:val="auto"/>
                <w:sz w:val="21"/>
                <w:highlight w:val="none"/>
              </w:rPr>
              <w:t>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w:t>
            </w:r>
            <w:r>
              <w:rPr>
                <w:rFonts w:hint="eastAsia" w:cs="宋体"/>
                <w:color w:val="auto"/>
                <w:sz w:val="21"/>
                <w:szCs w:val="21"/>
                <w:highlight w:val="none"/>
                <w:lang w:val="en-US" w:eastAsia="zh-CN"/>
              </w:rPr>
              <w:t>服务内容及要求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wordWrap w:val="0"/>
        <w:topLinePunct/>
        <w:ind w:firstLine="482" w:firstLineChars="200"/>
        <w:rPr>
          <w:rFonts w:cs="宋体"/>
          <w:bCs/>
          <w:snapToGrid w:val="0"/>
          <w:color w:val="auto"/>
          <w:highlight w:val="none"/>
        </w:rPr>
      </w:pPr>
      <w:r>
        <w:rPr>
          <w:rFonts w:hint="eastAsia" w:cs="宋体"/>
          <w:b/>
          <w:snapToGrid w:val="0"/>
          <w:color w:val="auto"/>
          <w:highlight w:val="none"/>
        </w:rPr>
        <w:t>注：</w:t>
      </w:r>
      <w:r>
        <w:rPr>
          <w:rFonts w:hint="eastAsia" w:cs="宋体"/>
          <w:bCs/>
          <w:snapToGrid w:val="0"/>
          <w:color w:val="auto"/>
          <w:highlight w:val="none"/>
        </w:rPr>
        <w:t>①供应商必须据实填写有偏离的条款，不得虚假应答，否则将取消其</w:t>
      </w:r>
      <w:r>
        <w:rPr>
          <w:rFonts w:hint="eastAsia" w:cs="宋体"/>
          <w:bCs/>
          <w:snapToGrid w:val="0"/>
          <w:color w:val="auto"/>
          <w:highlight w:val="none"/>
          <w:lang w:val="en-US" w:eastAsia="zh-CN"/>
        </w:rPr>
        <w:t>中标</w:t>
      </w:r>
      <w:r>
        <w:rPr>
          <w:rFonts w:hint="eastAsia" w:cs="宋体"/>
          <w:bCs/>
          <w:snapToGrid w:val="0"/>
          <w:color w:val="auto"/>
          <w:highlight w:val="none"/>
        </w:rPr>
        <w:t>资格。</w:t>
      </w:r>
    </w:p>
    <w:p>
      <w:pPr>
        <w:wordWrap w:val="0"/>
        <w:topLinePunct/>
        <w:ind w:firstLine="480" w:firstLineChars="200"/>
        <w:rPr>
          <w:rFonts w:cs="宋体"/>
          <w:bCs/>
          <w:snapToGrid w:val="0"/>
          <w:color w:val="auto"/>
          <w:highlight w:val="none"/>
        </w:rPr>
      </w:pPr>
      <w:r>
        <w:rPr>
          <w:rFonts w:hint="eastAsia" w:cs="宋体"/>
          <w:bCs/>
          <w:snapToGrid w:val="0"/>
          <w:color w:val="auto"/>
          <w:highlight w:val="none"/>
        </w:rPr>
        <w:t>②如与招标文件第六章</w:t>
      </w:r>
      <w:r>
        <w:rPr>
          <w:rFonts w:hint="eastAsia" w:cs="宋体"/>
          <w:bCs/>
          <w:snapToGrid w:val="0"/>
          <w:color w:val="auto"/>
          <w:highlight w:val="none"/>
          <w:lang w:val="en-US" w:eastAsia="zh-CN"/>
        </w:rPr>
        <w:t>服务内容及要求</w:t>
      </w:r>
      <w:r>
        <w:rPr>
          <w:rFonts w:hint="eastAsia" w:cs="宋体"/>
          <w:bCs/>
          <w:snapToGrid w:val="0"/>
          <w:color w:val="auto"/>
          <w:highlight w:val="none"/>
        </w:rPr>
        <w:t>的条款内容有偏离(包括正偏离和负偏离)，</w:t>
      </w:r>
      <w:r>
        <w:rPr>
          <w:rFonts w:hint="eastAsia" w:cs="宋体"/>
          <w:b/>
          <w:snapToGrid w:val="0"/>
          <w:color w:val="auto"/>
          <w:highlight w:val="none"/>
        </w:rPr>
        <w:t>请将偏离条款逐条应答</w:t>
      </w:r>
      <w:r>
        <w:rPr>
          <w:rFonts w:hint="eastAsia" w:cs="宋体"/>
          <w:bCs/>
          <w:snapToGrid w:val="0"/>
          <w:color w:val="auto"/>
          <w:highlight w:val="none"/>
        </w:rPr>
        <w:t>，未在此表中进行应答或未明确偏离的条款视为默认完全响应和接受，供应商不得以未作应答而拒不接受</w:t>
      </w:r>
      <w:r>
        <w:rPr>
          <w:rFonts w:hint="eastAsia"/>
          <w:b/>
          <w:snapToGrid w:val="0"/>
          <w:color w:val="auto"/>
          <w:highlight w:val="none"/>
        </w:rPr>
        <w:t>(要求提供承诺函或证明材料的条款，以供应商提供的承诺函内容或证明材料为准)</w:t>
      </w:r>
      <w:r>
        <w:rPr>
          <w:rFonts w:hint="eastAsia" w:cs="宋体"/>
          <w:bCs/>
          <w:snapToGrid w:val="0"/>
          <w:color w:val="auto"/>
          <w:highlight w:val="none"/>
        </w:rPr>
        <w:t>。</w:t>
      </w:r>
    </w:p>
    <w:p>
      <w:pPr>
        <w:pStyle w:val="49"/>
        <w:ind w:firstLine="482"/>
        <w:rPr>
          <w:rFonts w:hint="eastAsia"/>
          <w:color w:val="auto"/>
          <w:highlight w:val="none"/>
        </w:rPr>
      </w:pPr>
      <w:r>
        <w:rPr>
          <w:rFonts w:hint="eastAsia" w:cs="宋体"/>
          <w:bCs/>
          <w:color w:val="auto"/>
          <w:highlight w:val="none"/>
        </w:rPr>
        <w:t>③评审时如对供应商</w:t>
      </w:r>
      <w:r>
        <w:rPr>
          <w:rFonts w:hint="eastAsia" w:cs="宋体"/>
          <w:bCs/>
          <w:color w:val="auto"/>
          <w:highlight w:val="none"/>
          <w:lang w:val="en-US" w:eastAsia="zh-CN"/>
        </w:rPr>
        <w:t>投标</w:t>
      </w:r>
      <w:r>
        <w:rPr>
          <w:rFonts w:hint="eastAsia" w:cs="宋体"/>
          <w:bCs/>
          <w:color w:val="auto"/>
          <w:highlight w:val="none"/>
        </w:rPr>
        <w:t>文件中服务应答的内容存在歧义的，可要求供应商进行澄清</w:t>
      </w:r>
      <w:r>
        <w:rPr>
          <w:rFonts w:hint="eastAsia"/>
          <w:color w:val="auto"/>
          <w:highlight w:val="none"/>
        </w:rPr>
        <w:t>。</w:t>
      </w:r>
    </w:p>
    <w:p>
      <w:pPr>
        <w:pStyle w:val="49"/>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30"/>
    <w:bookmarkEnd w:id="931"/>
    <w:bookmarkEnd w:id="932"/>
    <w:p>
      <w:pPr>
        <w:pStyle w:val="47"/>
        <w:numPr>
          <w:ilvl w:val="0"/>
          <w:numId w:val="23"/>
        </w:numPr>
        <w:bidi w:val="0"/>
        <w:ind w:left="0" w:leftChars="0" w:firstLine="0" w:firstLineChars="0"/>
        <w:rPr>
          <w:rFonts w:hint="eastAsia"/>
          <w:color w:val="auto"/>
          <w:highlight w:val="none"/>
          <w:lang w:val="en-US" w:eastAsia="zh-CN"/>
        </w:rPr>
      </w:pPr>
      <w:bookmarkStart w:id="938" w:name="_Toc859"/>
      <w:bookmarkStart w:id="939" w:name="_Toc28539"/>
      <w:r>
        <w:rPr>
          <w:rFonts w:hint="eastAsia"/>
          <w:color w:val="auto"/>
          <w:highlight w:val="none"/>
          <w:lang w:val="en-US" w:eastAsia="zh-CN"/>
        </w:rPr>
        <w:t>履约能力及相关证明</w:t>
      </w:r>
      <w:bookmarkEnd w:id="938"/>
      <w:bookmarkEnd w:id="939"/>
    </w:p>
    <w:p>
      <w:pPr>
        <w:pStyle w:val="49"/>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r>
        <w:rPr>
          <w:rFonts w:hint="eastAsia"/>
          <w:color w:val="auto"/>
          <w:highlight w:val="none"/>
          <w:lang w:val="en-US" w:eastAsia="zh-CN"/>
        </w:rPr>
        <w:br w:type="page"/>
      </w:r>
    </w:p>
    <w:bookmarkEnd w:id="933"/>
    <w:p>
      <w:pPr>
        <w:pStyle w:val="47"/>
        <w:numPr>
          <w:ilvl w:val="0"/>
          <w:numId w:val="23"/>
        </w:numPr>
        <w:bidi w:val="0"/>
        <w:ind w:left="0" w:leftChars="0" w:firstLine="0" w:firstLineChars="0"/>
        <w:rPr>
          <w:rFonts w:hint="eastAsia"/>
          <w:color w:val="auto"/>
          <w:highlight w:val="none"/>
          <w:lang w:val="en-US" w:eastAsia="zh-CN"/>
        </w:rPr>
      </w:pPr>
      <w:bookmarkStart w:id="940" w:name="_Toc13361"/>
      <w:bookmarkStart w:id="941" w:name="_Toc32493"/>
      <w:bookmarkStart w:id="942" w:name="_Toc19240"/>
      <w:bookmarkStart w:id="943" w:name="_Toc2450"/>
      <w:bookmarkStart w:id="944" w:name="_Toc122"/>
      <w:bookmarkStart w:id="945" w:name="_Toc8563"/>
      <w:r>
        <w:rPr>
          <w:rFonts w:hint="eastAsia"/>
          <w:color w:val="auto"/>
          <w:highlight w:val="none"/>
          <w:lang w:val="en-US" w:eastAsia="zh-CN"/>
        </w:rPr>
        <w:t>投标人针对本项目人员配置情况表</w:t>
      </w:r>
      <w:bookmarkEnd w:id="940"/>
      <w:bookmarkEnd w:id="941"/>
    </w:p>
    <w:p>
      <w:pPr>
        <w:pStyle w:val="26"/>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8"/>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48"/>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48"/>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48"/>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48"/>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48"/>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1" w:type="dxa"/>
            <w:vMerge w:val="continue"/>
            <w:vAlign w:val="center"/>
          </w:tcPr>
          <w:p>
            <w:pPr>
              <w:pStyle w:val="48"/>
              <w:bidi w:val="0"/>
              <w:rPr>
                <w:rFonts w:hint="eastAsia"/>
                <w:b/>
                <w:bCs/>
                <w:color w:val="auto"/>
                <w:highlight w:val="none"/>
              </w:rPr>
            </w:pPr>
          </w:p>
        </w:tc>
        <w:tc>
          <w:tcPr>
            <w:tcW w:w="923" w:type="dxa"/>
            <w:vMerge w:val="continue"/>
            <w:vAlign w:val="center"/>
          </w:tcPr>
          <w:p>
            <w:pPr>
              <w:pStyle w:val="48"/>
              <w:bidi w:val="0"/>
              <w:rPr>
                <w:rFonts w:hint="eastAsia"/>
                <w:b/>
                <w:bCs/>
                <w:color w:val="auto"/>
                <w:highlight w:val="none"/>
              </w:rPr>
            </w:pPr>
          </w:p>
        </w:tc>
        <w:tc>
          <w:tcPr>
            <w:tcW w:w="922" w:type="dxa"/>
            <w:vMerge w:val="continue"/>
            <w:vAlign w:val="center"/>
          </w:tcPr>
          <w:p>
            <w:pPr>
              <w:pStyle w:val="48"/>
              <w:bidi w:val="0"/>
              <w:rPr>
                <w:rFonts w:hint="eastAsia"/>
                <w:b/>
                <w:bCs/>
                <w:color w:val="auto"/>
                <w:highlight w:val="none"/>
              </w:rPr>
            </w:pPr>
          </w:p>
        </w:tc>
        <w:tc>
          <w:tcPr>
            <w:tcW w:w="1436" w:type="dxa"/>
            <w:vAlign w:val="center"/>
          </w:tcPr>
          <w:p>
            <w:pPr>
              <w:pStyle w:val="48"/>
              <w:bidi w:val="0"/>
              <w:rPr>
                <w:rFonts w:hint="eastAsia"/>
                <w:b/>
                <w:bCs/>
                <w:color w:val="auto"/>
                <w:highlight w:val="none"/>
              </w:rPr>
            </w:pPr>
            <w:r>
              <w:rPr>
                <w:rFonts w:hint="eastAsia"/>
                <w:b/>
                <w:bCs/>
                <w:color w:val="auto"/>
                <w:highlight w:val="none"/>
              </w:rPr>
              <w:t>证书名称</w:t>
            </w:r>
          </w:p>
        </w:tc>
        <w:tc>
          <w:tcPr>
            <w:tcW w:w="1022" w:type="dxa"/>
            <w:vAlign w:val="center"/>
          </w:tcPr>
          <w:p>
            <w:pPr>
              <w:pStyle w:val="48"/>
              <w:bidi w:val="0"/>
              <w:rPr>
                <w:rFonts w:hint="eastAsia"/>
                <w:b/>
                <w:bCs/>
                <w:color w:val="auto"/>
                <w:highlight w:val="none"/>
              </w:rPr>
            </w:pPr>
            <w:r>
              <w:rPr>
                <w:rFonts w:hint="eastAsia"/>
                <w:b/>
                <w:bCs/>
                <w:color w:val="auto"/>
                <w:highlight w:val="none"/>
              </w:rPr>
              <w:t>级别</w:t>
            </w:r>
          </w:p>
        </w:tc>
        <w:tc>
          <w:tcPr>
            <w:tcW w:w="1232" w:type="dxa"/>
            <w:vAlign w:val="center"/>
          </w:tcPr>
          <w:p>
            <w:pPr>
              <w:pStyle w:val="48"/>
              <w:bidi w:val="0"/>
              <w:rPr>
                <w:rFonts w:hint="eastAsia"/>
                <w:b/>
                <w:bCs/>
                <w:color w:val="auto"/>
                <w:highlight w:val="none"/>
              </w:rPr>
            </w:pPr>
            <w:r>
              <w:rPr>
                <w:rFonts w:hint="eastAsia"/>
                <w:b/>
                <w:bCs/>
                <w:color w:val="auto"/>
                <w:highlight w:val="none"/>
              </w:rPr>
              <w:t>证号</w:t>
            </w:r>
          </w:p>
        </w:tc>
        <w:tc>
          <w:tcPr>
            <w:tcW w:w="1229" w:type="dxa"/>
            <w:vAlign w:val="center"/>
          </w:tcPr>
          <w:p>
            <w:pPr>
              <w:pStyle w:val="48"/>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1" w:type="dxa"/>
            <w:vAlign w:val="top"/>
          </w:tcPr>
          <w:p>
            <w:pPr>
              <w:pStyle w:val="48"/>
              <w:bidi w:val="0"/>
              <w:rPr>
                <w:rFonts w:hint="eastAsia"/>
                <w:color w:val="auto"/>
                <w:highlight w:val="none"/>
              </w:rPr>
            </w:pPr>
          </w:p>
        </w:tc>
        <w:tc>
          <w:tcPr>
            <w:tcW w:w="923" w:type="dxa"/>
            <w:vAlign w:val="top"/>
          </w:tcPr>
          <w:p>
            <w:pPr>
              <w:pStyle w:val="48"/>
              <w:bidi w:val="0"/>
              <w:rPr>
                <w:rFonts w:hint="eastAsia"/>
                <w:color w:val="auto"/>
                <w:highlight w:val="none"/>
              </w:rPr>
            </w:pPr>
          </w:p>
        </w:tc>
        <w:tc>
          <w:tcPr>
            <w:tcW w:w="922" w:type="dxa"/>
            <w:vAlign w:val="top"/>
          </w:tcPr>
          <w:p>
            <w:pPr>
              <w:pStyle w:val="48"/>
              <w:bidi w:val="0"/>
              <w:rPr>
                <w:rFonts w:hint="eastAsia"/>
                <w:color w:val="auto"/>
                <w:highlight w:val="none"/>
              </w:rPr>
            </w:pPr>
          </w:p>
        </w:tc>
        <w:tc>
          <w:tcPr>
            <w:tcW w:w="1436" w:type="dxa"/>
            <w:vAlign w:val="top"/>
          </w:tcPr>
          <w:p>
            <w:pPr>
              <w:pStyle w:val="48"/>
              <w:bidi w:val="0"/>
              <w:rPr>
                <w:rFonts w:hint="eastAsia"/>
                <w:color w:val="auto"/>
                <w:highlight w:val="none"/>
              </w:rPr>
            </w:pPr>
          </w:p>
        </w:tc>
        <w:tc>
          <w:tcPr>
            <w:tcW w:w="1022" w:type="dxa"/>
            <w:vAlign w:val="top"/>
          </w:tcPr>
          <w:p>
            <w:pPr>
              <w:pStyle w:val="48"/>
              <w:bidi w:val="0"/>
              <w:rPr>
                <w:rFonts w:hint="eastAsia"/>
                <w:color w:val="auto"/>
                <w:highlight w:val="none"/>
              </w:rPr>
            </w:pPr>
          </w:p>
        </w:tc>
        <w:tc>
          <w:tcPr>
            <w:tcW w:w="1232" w:type="dxa"/>
            <w:vAlign w:val="top"/>
          </w:tcPr>
          <w:p>
            <w:pPr>
              <w:pStyle w:val="48"/>
              <w:bidi w:val="0"/>
              <w:rPr>
                <w:rFonts w:hint="eastAsia"/>
                <w:color w:val="auto"/>
                <w:highlight w:val="none"/>
              </w:rPr>
            </w:pPr>
          </w:p>
        </w:tc>
        <w:tc>
          <w:tcPr>
            <w:tcW w:w="1229" w:type="dxa"/>
            <w:vAlign w:val="top"/>
          </w:tcPr>
          <w:p>
            <w:pPr>
              <w:pStyle w:val="48"/>
              <w:bidi w:val="0"/>
              <w:rPr>
                <w:rFonts w:hint="eastAsia"/>
                <w:color w:val="auto"/>
                <w:highlight w:val="none"/>
              </w:rPr>
            </w:pPr>
          </w:p>
        </w:tc>
      </w:tr>
    </w:tbl>
    <w:p>
      <w:pPr>
        <w:pStyle w:val="49"/>
        <w:bidi w:val="0"/>
        <w:rPr>
          <w:rFonts w:hint="default" w:eastAsia="宋体"/>
          <w:color w:val="auto"/>
          <w:highlight w:val="none"/>
          <w:lang w:val="en-US" w:eastAsia="zh-CN"/>
        </w:rPr>
      </w:pPr>
      <w:r>
        <w:rPr>
          <w:rFonts w:hint="eastAsia"/>
          <w:color w:val="auto"/>
          <w:highlight w:val="none"/>
        </w:rPr>
        <w:t>注：</w:t>
      </w:r>
      <w:r>
        <w:rPr>
          <w:rFonts w:hint="eastAsia"/>
          <w:color w:val="auto"/>
          <w:highlight w:val="none"/>
          <w:lang w:val="en-US" w:eastAsia="zh-CN"/>
        </w:rPr>
        <w:t>①投标人</w:t>
      </w:r>
      <w:r>
        <w:rPr>
          <w:rFonts w:hint="eastAsia"/>
          <w:color w:val="auto"/>
          <w:highlight w:val="none"/>
        </w:rPr>
        <w:t>根</w:t>
      </w:r>
      <w:r>
        <w:rPr>
          <w:rFonts w:hint="eastAsia"/>
          <w:color w:val="auto"/>
          <w:sz w:val="24"/>
          <w:szCs w:val="24"/>
          <w:highlight w:val="none"/>
        </w:rPr>
        <w:t>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调整填写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26"/>
        <w:bidi w:val="0"/>
        <w:rPr>
          <w:rFonts w:hint="eastAsia"/>
          <w:color w:val="auto"/>
          <w:highlight w:val="none"/>
        </w:rPr>
      </w:pPr>
    </w:p>
    <w:p>
      <w:pPr>
        <w:pStyle w:val="26"/>
        <w:bidi w:val="0"/>
        <w:rPr>
          <w:rFonts w:hint="eastAsia"/>
          <w:color w:val="auto"/>
          <w:highlight w:val="none"/>
        </w:rPr>
      </w:pPr>
    </w:p>
    <w:p>
      <w:pPr>
        <w:pStyle w:val="29"/>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29"/>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9"/>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bookmarkEnd w:id="942"/>
    </w:p>
    <w:p>
      <w:pPr>
        <w:pStyle w:val="47"/>
        <w:numPr>
          <w:ilvl w:val="0"/>
          <w:numId w:val="23"/>
        </w:numPr>
        <w:bidi w:val="0"/>
        <w:ind w:left="0" w:leftChars="0" w:firstLine="0" w:firstLineChars="0"/>
        <w:rPr>
          <w:rFonts w:hint="eastAsia"/>
          <w:color w:val="auto"/>
          <w:highlight w:val="none"/>
          <w:lang w:val="en-US" w:eastAsia="zh-CN"/>
        </w:rPr>
      </w:pPr>
      <w:bookmarkStart w:id="946" w:name="_Toc21112"/>
      <w:bookmarkStart w:id="947" w:name="_Toc6463"/>
      <w:r>
        <w:rPr>
          <w:rFonts w:hint="eastAsia"/>
          <w:color w:val="auto"/>
          <w:highlight w:val="none"/>
        </w:rPr>
        <w:t>小微企业、监狱企业</w:t>
      </w:r>
      <w:r>
        <w:rPr>
          <w:rFonts w:hint="eastAsia"/>
          <w:color w:val="auto"/>
          <w:highlight w:val="none"/>
          <w:lang w:eastAsia="zh-CN"/>
        </w:rPr>
        <w:t>、</w:t>
      </w:r>
      <w:r>
        <w:rPr>
          <w:rFonts w:hint="eastAsia"/>
          <w:color w:val="auto"/>
          <w:highlight w:val="none"/>
          <w:lang w:val="en-US" w:eastAsia="zh-CN"/>
        </w:rPr>
        <w:t>残疾人福利性单位</w:t>
      </w:r>
      <w:r>
        <w:rPr>
          <w:rFonts w:hint="eastAsia"/>
          <w:color w:val="auto"/>
          <w:highlight w:val="none"/>
        </w:rPr>
        <w:t>价格扣除</w:t>
      </w:r>
      <w:bookmarkEnd w:id="946"/>
      <w:bookmarkEnd w:id="947"/>
    </w:p>
    <w:p>
      <w:pPr>
        <w:pStyle w:val="47"/>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color w:val="auto"/>
          <w:highlight w:val="none"/>
          <w:lang w:val="en-US" w:eastAsia="zh-CN"/>
        </w:rPr>
      </w:pPr>
      <w:bookmarkStart w:id="948" w:name="_Toc646"/>
      <w:r>
        <w:rPr>
          <w:rFonts w:hint="eastAsia"/>
          <w:color w:val="auto"/>
          <w:highlight w:val="none"/>
          <w:lang w:val="en-US" w:eastAsia="zh-CN"/>
        </w:rPr>
        <w:t>(一)中小企业声明函(如涉及</w:t>
      </w:r>
      <w:bookmarkEnd w:id="943"/>
      <w:r>
        <w:rPr>
          <w:rFonts w:hint="eastAsia"/>
          <w:color w:val="auto"/>
          <w:highlight w:val="none"/>
          <w:lang w:val="en-US" w:eastAsia="zh-CN"/>
        </w:rPr>
        <w:t>)</w:t>
      </w:r>
      <w:bookmarkEnd w:id="944"/>
      <w:bookmarkEnd w:id="945"/>
      <w:bookmarkEnd w:id="948"/>
    </w:p>
    <w:p>
      <w:pPr>
        <w:pStyle w:val="49"/>
        <w:spacing w:line="440" w:lineRule="exact"/>
        <w:rPr>
          <w:rFonts w:hint="eastAsia"/>
          <w:b w:val="0"/>
          <w:bCs/>
          <w:color w:val="auto"/>
          <w:highlight w:val="none"/>
        </w:rPr>
      </w:pPr>
      <w:r>
        <w:rPr>
          <w:rFonts w:hint="eastAsia"/>
          <w:b w:val="0"/>
          <w:bCs/>
          <w:color w:val="auto"/>
          <w:spacing w:val="0"/>
          <w:highlight w:val="none"/>
        </w:rPr>
        <w:t>本公司郑重声明，根据《政府采购促进中小企业发展管理办法》</w:t>
      </w:r>
      <w:r>
        <w:rPr>
          <w:rFonts w:hint="eastAsia"/>
          <w:b w:val="0"/>
          <w:bCs/>
          <w:color w:val="auto"/>
          <w:highlight w:val="none"/>
          <w:lang w:eastAsia="zh-CN"/>
        </w:rPr>
        <w:t>(</w:t>
      </w:r>
      <w:r>
        <w:rPr>
          <w:rFonts w:hint="eastAsia"/>
          <w:b w:val="0"/>
          <w:bCs/>
          <w:color w:val="auto"/>
          <w:spacing w:val="0"/>
          <w:highlight w:val="none"/>
        </w:rPr>
        <w:t>财库</w:t>
      </w:r>
      <w:r>
        <w:rPr>
          <w:rFonts w:hint="eastAsia" w:ascii="宋体" w:eastAsia="宋体"/>
          <w:b w:val="0"/>
          <w:bCs/>
          <w:color w:val="auto"/>
          <w:highlight w:val="none"/>
        </w:rPr>
        <w:t>﹝</w:t>
      </w:r>
      <w:r>
        <w:rPr>
          <w:rFonts w:hint="eastAsia"/>
          <w:b w:val="0"/>
          <w:bCs/>
          <w:color w:val="auto"/>
          <w:highlight w:val="none"/>
        </w:rPr>
        <w:t>2020</w:t>
      </w:r>
      <w:r>
        <w:rPr>
          <w:rFonts w:hint="eastAsia" w:ascii="宋体" w:eastAsia="宋体"/>
          <w:b w:val="0"/>
          <w:bCs/>
          <w:color w:val="auto"/>
          <w:highlight w:val="none"/>
        </w:rPr>
        <w:t>﹞</w:t>
      </w:r>
      <w:r>
        <w:rPr>
          <w:rFonts w:hint="eastAsia"/>
          <w:b w:val="0"/>
          <w:bCs/>
          <w:color w:val="auto"/>
          <w:highlight w:val="none"/>
        </w:rPr>
        <w:t>46</w:t>
      </w:r>
      <w:r>
        <w:rPr>
          <w:rFonts w:hint="eastAsia"/>
          <w:b w:val="0"/>
          <w:bCs/>
          <w:color w:val="auto"/>
          <w:spacing w:val="0"/>
          <w:highlight w:val="none"/>
        </w:rPr>
        <w:t>号</w:t>
      </w:r>
      <w:r>
        <w:rPr>
          <w:rFonts w:hint="eastAsia"/>
          <w:b w:val="0"/>
          <w:bCs/>
          <w:color w:val="auto"/>
          <w:spacing w:val="0"/>
          <w:highlight w:val="none"/>
          <w:lang w:eastAsia="zh-CN"/>
        </w:rPr>
        <w:t>)</w:t>
      </w:r>
      <w:r>
        <w:rPr>
          <w:rFonts w:hint="eastAsia"/>
          <w:b w:val="0"/>
          <w:bCs/>
          <w:color w:val="auto"/>
          <w:highlight w:val="none"/>
        </w:rPr>
        <w:t>的规定，本公司</w:t>
      </w:r>
      <w:r>
        <w:rPr>
          <w:rFonts w:hint="eastAsia"/>
          <w:b w:val="0"/>
          <w:bCs/>
          <w:color w:val="auto"/>
          <w:spacing w:val="0"/>
          <w:highlight w:val="none"/>
        </w:rPr>
        <w:t>参加</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单位名称</w:t>
      </w:r>
      <w:r>
        <w:rPr>
          <w:rFonts w:hint="eastAsia"/>
          <w:b w:val="0"/>
          <w:bCs/>
          <w:i w:val="0"/>
          <w:color w:val="auto"/>
          <w:spacing w:val="0"/>
          <w:sz w:val="24"/>
          <w:highlight w:val="none"/>
          <w:u w:val="single"/>
          <w:lang w:eastAsia="zh-CN"/>
        </w:rPr>
        <w:t>)</w:t>
      </w:r>
      <w:r>
        <w:rPr>
          <w:rFonts w:hint="eastAsia"/>
          <w:b w:val="0"/>
          <w:bCs/>
          <w:color w:val="auto"/>
          <w:spacing w:val="0"/>
          <w:highlight w:val="none"/>
        </w:rPr>
        <w:t>的</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项目名称</w:t>
      </w:r>
      <w:r>
        <w:rPr>
          <w:rFonts w:hint="eastAsia"/>
          <w:b w:val="0"/>
          <w:bCs/>
          <w:i w:val="0"/>
          <w:color w:val="auto"/>
          <w:spacing w:val="0"/>
          <w:sz w:val="24"/>
          <w:highlight w:val="none"/>
          <w:u w:val="single"/>
          <w:lang w:eastAsia="zh-CN"/>
        </w:rPr>
        <w:t>)</w:t>
      </w:r>
      <w:r>
        <w:rPr>
          <w:rFonts w:hint="eastAsia"/>
          <w:b w:val="0"/>
          <w:bCs/>
          <w:color w:val="auto"/>
          <w:spacing w:val="0"/>
          <w:highlight w:val="none"/>
        </w:rPr>
        <w:t>采购活动，服务</w:t>
      </w:r>
      <w:r>
        <w:rPr>
          <w:rFonts w:hint="eastAsia"/>
          <w:b w:val="0"/>
          <w:bCs/>
          <w:color w:val="auto"/>
          <w:spacing w:val="0"/>
          <w:w w:val="100"/>
          <w:highlight w:val="none"/>
        </w:rPr>
        <w:t>全部由符合政策要求的中小企业承接。相关企业</w:t>
      </w:r>
      <w:r>
        <w:rPr>
          <w:rFonts w:hint="eastAsia"/>
          <w:b w:val="0"/>
          <w:bCs/>
          <w:color w:val="auto"/>
          <w:highlight w:val="none"/>
        </w:rPr>
        <w:t>的具体情况如下：</w:t>
      </w:r>
    </w:p>
    <w:p>
      <w:pPr>
        <w:pStyle w:val="49"/>
        <w:spacing w:line="440" w:lineRule="exact"/>
        <w:rPr>
          <w:rFonts w:hint="eastAsia"/>
          <w:b w:val="0"/>
          <w:bCs/>
          <w:color w:val="auto"/>
          <w:sz w:val="24"/>
          <w:highlight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，属于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rPr>
        <w:t>，从业人员</w:t>
      </w:r>
      <w:r>
        <w:rPr>
          <w:rFonts w:hint="eastAsia"/>
          <w:b w:val="0"/>
          <w:bCs/>
          <w:color w:val="auto"/>
          <w:w w:val="100"/>
          <w:sz w:val="24"/>
          <w:highlight w:val="none"/>
          <w:u w:val="single"/>
          <w:lang w:val="en-US" w:eastAsia="zh-CN"/>
        </w:rPr>
        <w:t xml:space="preserve">    </w:t>
      </w:r>
      <w:r>
        <w:rPr>
          <w:rFonts w:hint="eastAsia"/>
          <w:b w:val="0"/>
          <w:bCs/>
          <w:color w:val="auto"/>
          <w:spacing w:val="0"/>
          <w:w w:val="100"/>
          <w:sz w:val="24"/>
          <w:highlight w:val="none"/>
        </w:rPr>
        <w:t>人，营</w:t>
      </w:r>
      <w:r>
        <w:rPr>
          <w:rFonts w:hint="eastAsia"/>
          <w:b w:val="0"/>
          <w:bCs/>
          <w:color w:val="auto"/>
          <w:w w:val="100"/>
          <w:sz w:val="24"/>
          <w:highlight w:val="none"/>
        </w:rPr>
        <w:t>业</w:t>
      </w:r>
      <w:r>
        <w:rPr>
          <w:rFonts w:hint="eastAsia"/>
          <w:b w:val="0"/>
          <w:bCs/>
          <w:color w:val="auto"/>
          <w:sz w:val="24"/>
          <w:highlight w:val="none"/>
        </w:rPr>
        <w:t>收入为</w:t>
      </w:r>
      <w:r>
        <w:rPr>
          <w:rFonts w:hint="eastAsia"/>
          <w:b w:val="0"/>
          <w:bCs/>
          <w:color w:val="auto"/>
          <w:sz w:val="24"/>
          <w:highlight w:val="none"/>
          <w:u w:val="single"/>
          <w:lang w:val="en-US" w:eastAsia="zh-CN"/>
        </w:rPr>
        <w:t xml:space="preserve">    </w:t>
      </w:r>
      <w:r>
        <w:rPr>
          <w:rFonts w:hint="eastAsia"/>
          <w:b w:val="0"/>
          <w:bCs/>
          <w:color w:val="auto"/>
          <w:sz w:val="24"/>
          <w:highlight w:val="none"/>
          <w:u w:val="none"/>
        </w:rPr>
        <w:tab/>
      </w:r>
      <w:r>
        <w:rPr>
          <w:rFonts w:hint="eastAsia"/>
          <w:b w:val="0"/>
          <w:bCs/>
          <w:color w:val="auto"/>
          <w:sz w:val="24"/>
          <w:highlight w:val="none"/>
        </w:rPr>
        <w:t>万元，资产总额为</w:t>
      </w:r>
      <w:r>
        <w:rPr>
          <w:rFonts w:hint="eastAsia"/>
          <w:b w:val="0"/>
          <w:bCs/>
          <w:color w:val="auto"/>
          <w:sz w:val="24"/>
          <w:highlight w:val="none"/>
          <w:u w:val="single"/>
          <w:lang w:val="en-US" w:eastAsia="zh-CN"/>
        </w:rPr>
        <w:t xml:space="preserve">    </w:t>
      </w:r>
      <w:r>
        <w:rPr>
          <w:rFonts w:hint="eastAsia"/>
          <w:b w:val="0"/>
          <w:bCs/>
          <w:color w:val="auto"/>
          <w:w w:val="100"/>
          <w:sz w:val="24"/>
          <w:highlight w:val="none"/>
        </w:rPr>
        <w:t>万元，属</w:t>
      </w:r>
      <w:r>
        <w:rPr>
          <w:rFonts w:hint="eastAsia"/>
          <w:b w:val="0"/>
          <w:bCs/>
          <w:color w:val="auto"/>
          <w:spacing w:val="0"/>
          <w:w w:val="100"/>
          <w:sz w:val="24"/>
          <w:highlight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中型企业</w:t>
      </w:r>
      <w:r>
        <w:rPr>
          <w:rFonts w:hint="eastAsia"/>
          <w:b w:val="0"/>
          <w:bCs/>
          <w:i w:val="0"/>
          <w:color w:val="auto"/>
          <w:w w:val="100"/>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rPr>
        <w:t>；</w:t>
      </w:r>
    </w:p>
    <w:p>
      <w:pPr>
        <w:pStyle w:val="49"/>
        <w:spacing w:line="440" w:lineRule="exact"/>
        <w:rPr>
          <w:rFonts w:hint="eastAsia"/>
          <w:b w:val="0"/>
          <w:bCs/>
          <w:color w:val="auto"/>
          <w:sz w:val="24"/>
          <w:highlight w:val="none"/>
          <w:u w:val="none"/>
        </w:rPr>
      </w:pP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标的名称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w:t>
      </w:r>
      <w:r>
        <w:rPr>
          <w:rFonts w:hint="eastAsia"/>
          <w:b w:val="0"/>
          <w:bCs/>
          <w:color w:val="auto"/>
          <w:w w:val="100"/>
          <w:sz w:val="24"/>
          <w:highlight w:val="none"/>
          <w:u w:val="none"/>
        </w:rPr>
        <w:t>属</w:t>
      </w:r>
      <w:r>
        <w:rPr>
          <w:rFonts w:hint="eastAsia"/>
          <w:b w:val="0"/>
          <w:bCs/>
          <w:color w:val="auto"/>
          <w:spacing w:val="0"/>
          <w:w w:val="100"/>
          <w:sz w:val="24"/>
          <w:highlight w:val="none"/>
          <w:u w:val="none"/>
        </w:rPr>
        <w:t>于</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采购文件中明确的所属行业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r>
        <w:rPr>
          <w:rFonts w:hint="eastAsia"/>
          <w:b w:val="0"/>
          <w:bCs/>
          <w:color w:val="auto"/>
          <w:spacing w:val="0"/>
          <w:w w:val="100"/>
          <w:sz w:val="24"/>
          <w:highlight w:val="none"/>
          <w:u w:val="none"/>
        </w:rPr>
        <w:t>承接企业为</w:t>
      </w:r>
      <w:r>
        <w:rPr>
          <w:rFonts w:hint="eastAsia"/>
          <w:b w:val="0"/>
          <w:bCs/>
          <w:i w:val="0"/>
          <w:color w:val="auto"/>
          <w:spacing w:val="0"/>
          <w:w w:val="100"/>
          <w:sz w:val="24"/>
          <w:highlight w:val="none"/>
          <w:u w:val="single"/>
          <w:lang w:eastAsia="zh-CN"/>
        </w:rPr>
        <w:t>(</w:t>
      </w:r>
      <w:r>
        <w:rPr>
          <w:rFonts w:hint="eastAsia"/>
          <w:b w:val="0"/>
          <w:bCs/>
          <w:i w:val="0"/>
          <w:color w:val="auto"/>
          <w:spacing w:val="0"/>
          <w:w w:val="100"/>
          <w:sz w:val="24"/>
          <w:highlight w:val="none"/>
          <w:u w:val="single"/>
        </w:rPr>
        <w:t>企业名称</w:t>
      </w:r>
      <w:r>
        <w:rPr>
          <w:rFonts w:hint="eastAsia"/>
          <w:b w:val="0"/>
          <w:bCs/>
          <w:i w:val="0"/>
          <w:color w:val="auto"/>
          <w:spacing w:val="0"/>
          <w:w w:val="100"/>
          <w:sz w:val="24"/>
          <w:highlight w:val="none"/>
          <w:u w:val="single"/>
          <w:lang w:eastAsia="zh-CN"/>
        </w:rPr>
        <w:t>)</w:t>
      </w:r>
      <w:r>
        <w:rPr>
          <w:rFonts w:hint="eastAsia"/>
          <w:b w:val="0"/>
          <w:bCs/>
          <w:color w:val="auto"/>
          <w:spacing w:val="0"/>
          <w:w w:val="100"/>
          <w:sz w:val="24"/>
          <w:highlight w:val="none"/>
          <w:u w:val="none"/>
        </w:rPr>
        <w:t>，从业人员</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pacing w:val="0"/>
          <w:w w:val="100"/>
          <w:sz w:val="24"/>
          <w:highlight w:val="none"/>
          <w:u w:val="none"/>
        </w:rPr>
        <w:t>人，营</w:t>
      </w:r>
      <w:r>
        <w:rPr>
          <w:rFonts w:hint="eastAsia"/>
          <w:b w:val="0"/>
          <w:bCs/>
          <w:color w:val="auto"/>
          <w:w w:val="100"/>
          <w:sz w:val="24"/>
          <w:highlight w:val="none"/>
          <w:u w:val="none"/>
        </w:rPr>
        <w:t>业</w:t>
      </w:r>
      <w:r>
        <w:rPr>
          <w:rFonts w:hint="eastAsia"/>
          <w:b w:val="0"/>
          <w:bCs/>
          <w:color w:val="auto"/>
          <w:sz w:val="24"/>
          <w:highlight w:val="none"/>
          <w:u w:val="none"/>
        </w:rPr>
        <w:t>收入为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万元，资产总额为</w:t>
      </w:r>
      <w:r>
        <w:rPr>
          <w:rFonts w:hint="eastAsia"/>
          <w:b w:val="0"/>
          <w:bCs/>
          <w:color w:val="auto"/>
          <w:w w:val="100"/>
          <w:sz w:val="24"/>
          <w:highlight w:val="none"/>
          <w:u w:val="single"/>
          <w:lang w:val="en-US" w:eastAsia="zh-CN"/>
        </w:rPr>
        <w:t xml:space="preserve">    </w:t>
      </w:r>
      <w:r>
        <w:rPr>
          <w:rFonts w:hint="eastAsia" w:ascii="宋体" w:eastAsia="宋体"/>
          <w:b w:val="0"/>
          <w:bCs/>
          <w:color w:val="auto"/>
          <w:sz w:val="24"/>
          <w:highlight w:val="none"/>
          <w:u w:val="none"/>
        </w:rPr>
        <w:tab/>
      </w:r>
      <w:r>
        <w:rPr>
          <w:rFonts w:hint="eastAsia"/>
          <w:b w:val="0"/>
          <w:bCs/>
          <w:color w:val="auto"/>
          <w:sz w:val="24"/>
          <w:highlight w:val="none"/>
          <w:u w:val="none"/>
        </w:rPr>
        <w:t>万元，属</w:t>
      </w:r>
      <w:r>
        <w:rPr>
          <w:rFonts w:hint="eastAsia"/>
          <w:b w:val="0"/>
          <w:bCs/>
          <w:color w:val="auto"/>
          <w:spacing w:val="0"/>
          <w:sz w:val="24"/>
          <w:highlight w:val="none"/>
          <w:u w:val="none"/>
        </w:rPr>
        <w:t>于</w:t>
      </w:r>
      <w:r>
        <w:rPr>
          <w:rFonts w:hint="eastAsia"/>
          <w:b w:val="0"/>
          <w:bCs/>
          <w:i w:val="0"/>
          <w:color w:val="auto"/>
          <w:spacing w:val="0"/>
          <w:sz w:val="24"/>
          <w:highlight w:val="none"/>
          <w:u w:val="single"/>
          <w:lang w:eastAsia="zh-CN"/>
        </w:rPr>
        <w:t>(</w:t>
      </w:r>
      <w:r>
        <w:rPr>
          <w:rFonts w:hint="eastAsia"/>
          <w:b w:val="0"/>
          <w:bCs/>
          <w:i w:val="0"/>
          <w:color w:val="auto"/>
          <w:spacing w:val="0"/>
          <w:sz w:val="24"/>
          <w:highlight w:val="none"/>
          <w:u w:val="single"/>
        </w:rPr>
        <w:t>中型企业</w:t>
      </w:r>
      <w:r>
        <w:rPr>
          <w:rFonts w:hint="eastAsia"/>
          <w:b w:val="0"/>
          <w:bCs/>
          <w:i w:val="0"/>
          <w:color w:val="auto"/>
          <w:sz w:val="24"/>
          <w:highlight w:val="none"/>
          <w:u w:val="single"/>
        </w:rPr>
        <w:t>、</w:t>
      </w:r>
      <w:r>
        <w:rPr>
          <w:rFonts w:hint="eastAsia"/>
          <w:b w:val="0"/>
          <w:bCs/>
          <w:i w:val="0"/>
          <w:color w:val="auto"/>
          <w:spacing w:val="0"/>
          <w:w w:val="100"/>
          <w:sz w:val="24"/>
          <w:highlight w:val="none"/>
          <w:u w:val="single"/>
        </w:rPr>
        <w:t>小型企业、微型企业</w:t>
      </w:r>
      <w:r>
        <w:rPr>
          <w:rFonts w:hint="eastAsia"/>
          <w:b w:val="0"/>
          <w:bCs/>
          <w:i w:val="0"/>
          <w:color w:val="auto"/>
          <w:spacing w:val="0"/>
          <w:w w:val="100"/>
          <w:sz w:val="24"/>
          <w:highlight w:val="none"/>
          <w:u w:val="single"/>
          <w:lang w:eastAsia="zh-CN"/>
        </w:rPr>
        <w:t>)</w:t>
      </w:r>
      <w:r>
        <w:rPr>
          <w:rFonts w:hint="eastAsia"/>
          <w:b w:val="0"/>
          <w:bCs/>
          <w:color w:val="auto"/>
          <w:w w:val="100"/>
          <w:sz w:val="24"/>
          <w:highlight w:val="none"/>
          <w:u w:val="none"/>
        </w:rPr>
        <w:t>；</w:t>
      </w:r>
    </w:p>
    <w:p>
      <w:pPr>
        <w:pStyle w:val="49"/>
        <w:rPr>
          <w:rFonts w:hint="eastAsia"/>
          <w:b w:val="0"/>
          <w:bCs/>
          <w:color w:val="auto"/>
          <w:highlight w:val="none"/>
        </w:rPr>
      </w:pPr>
      <w:r>
        <w:rPr>
          <w:rFonts w:hint="eastAsia"/>
          <w:b w:val="0"/>
          <w:bCs/>
          <w:color w:val="auto"/>
          <w:highlight w:val="none"/>
        </w:rPr>
        <w:t>……</w:t>
      </w:r>
    </w:p>
    <w:p>
      <w:pPr>
        <w:pStyle w:val="49"/>
        <w:spacing w:line="440" w:lineRule="exact"/>
        <w:rPr>
          <w:rFonts w:hint="eastAsia"/>
          <w:b w:val="0"/>
          <w:bCs/>
          <w:color w:val="auto"/>
          <w:highlight w:val="none"/>
        </w:rPr>
      </w:pPr>
      <w:r>
        <w:rPr>
          <w:rFonts w:hint="eastAsia"/>
          <w:b w:val="0"/>
          <w:bCs/>
          <w:color w:val="auto"/>
          <w:spacing w:val="0"/>
          <w:highlight w:val="none"/>
        </w:rPr>
        <w:t>以上企业，不属于大企业的分支机构，不存在控股股东为大企业的情形，也不存在与大企业的负责人为同一人的情形。</w:t>
      </w:r>
    </w:p>
    <w:p>
      <w:pPr>
        <w:pStyle w:val="49"/>
        <w:spacing w:line="440" w:lineRule="exact"/>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企业名称(盖章)：</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bookmarkStart w:id="949" w:name="_Toc8055"/>
      <w:bookmarkStart w:id="950" w:name="_Toc413748654"/>
      <w:bookmarkStart w:id="951" w:name="_Toc387147344"/>
      <w:bookmarkStart w:id="952" w:name="_Toc387658050"/>
      <w:bookmarkStart w:id="953" w:name="_Toc419811733"/>
      <w:bookmarkStart w:id="954" w:name="_Toc417911732"/>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49"/>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lang w:val="en-US" w:eastAsia="zh-CN"/>
        </w:rPr>
        <w:t>注：</w:t>
      </w:r>
      <w:r>
        <w:rPr>
          <w:rFonts w:hint="eastAsia"/>
          <w:color w:val="auto"/>
          <w:highlight w:val="none"/>
        </w:rPr>
        <w:t>从业人员、营业收入、资产总额填报上一年度数据，无上一年度数据的新成立企业可不填报。</w:t>
      </w:r>
    </w:p>
    <w:p>
      <w:pPr>
        <w:pStyle w:val="47"/>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ascii="宋体" w:hAnsi="宋体" w:eastAsia="宋体"/>
          <w:color w:val="auto"/>
          <w:highlight w:val="none"/>
          <w:lang w:val="en-US" w:eastAsia="zh-CN"/>
        </w:rPr>
      </w:pPr>
      <w:bookmarkStart w:id="955" w:name="_Toc11278"/>
      <w:bookmarkStart w:id="956" w:name="_Toc30256"/>
      <w:bookmarkStart w:id="957" w:name="_Toc14848"/>
      <w:bookmarkStart w:id="958" w:name="_Toc26771"/>
      <w:r>
        <w:rPr>
          <w:rFonts w:hint="eastAsia"/>
          <w:color w:val="auto"/>
          <w:highlight w:val="none"/>
          <w:lang w:val="en-US" w:eastAsia="zh-CN"/>
        </w:rPr>
        <w:t>(二)</w:t>
      </w:r>
      <w:r>
        <w:rPr>
          <w:rFonts w:hint="eastAsia" w:ascii="宋体" w:hAnsi="宋体" w:eastAsia="宋体"/>
          <w:color w:val="auto"/>
          <w:highlight w:val="none"/>
          <w:lang w:val="en-US" w:eastAsia="zh-CN"/>
        </w:rPr>
        <w:t>监狱企业相关证明材料</w:t>
      </w:r>
      <w:bookmarkEnd w:id="949"/>
      <w:r>
        <w:rPr>
          <w:rFonts w:hint="eastAsia" w:ascii="宋体" w:hAnsi="宋体" w:eastAsia="宋体"/>
          <w:color w:val="auto"/>
          <w:highlight w:val="none"/>
          <w:lang w:val="en-US" w:eastAsia="zh-CN"/>
        </w:rPr>
        <w:t>(如涉及</w:t>
      </w:r>
      <w:bookmarkEnd w:id="955"/>
      <w:r>
        <w:rPr>
          <w:rFonts w:hint="eastAsia" w:ascii="宋体" w:hAnsi="宋体" w:eastAsia="宋体"/>
          <w:color w:val="auto"/>
          <w:highlight w:val="none"/>
          <w:lang w:val="en-US" w:eastAsia="zh-CN"/>
        </w:rPr>
        <w:t>)</w:t>
      </w:r>
      <w:bookmarkEnd w:id="956"/>
      <w:bookmarkEnd w:id="957"/>
      <w:bookmarkEnd w:id="958"/>
    </w:p>
    <w:p>
      <w:pPr>
        <w:pStyle w:val="49"/>
        <w:bidi w:val="0"/>
        <w:rPr>
          <w:rFonts w:hint="eastAsia"/>
          <w:color w:val="auto"/>
          <w:highlight w:val="none"/>
        </w:rPr>
      </w:pPr>
      <w:r>
        <w:rPr>
          <w:rFonts w:hint="eastAsia"/>
          <w:color w:val="auto"/>
          <w:highlight w:val="none"/>
        </w:rPr>
        <w:t>说明：</w:t>
      </w:r>
      <w:r>
        <w:rPr>
          <w:rFonts w:hint="eastAsia"/>
          <w:color w:val="auto"/>
          <w:highlight w:val="none"/>
          <w:lang w:val="en-US" w:eastAsia="zh-CN"/>
        </w:rPr>
        <w:t>①监狱企业参加政府采购活动时，应当提供由省级以上监狱管理局、戒毒管理局(含新疆生产建设兵团)出具的属于监狱企业的证明文件。</w:t>
      </w:r>
    </w:p>
    <w:p>
      <w:pPr>
        <w:pStyle w:val="49"/>
        <w:bidi w:val="0"/>
        <w:rPr>
          <w:rFonts w:hint="eastAsia"/>
          <w:color w:val="auto"/>
          <w:highlight w:val="none"/>
        </w:rPr>
      </w:pPr>
      <w:r>
        <w:rPr>
          <w:rFonts w:hint="eastAsia"/>
          <w:color w:val="auto"/>
          <w:highlight w:val="none"/>
          <w:lang w:val="en-US" w:eastAsia="zh-CN"/>
        </w:rPr>
        <w:t>②</w:t>
      </w:r>
      <w:r>
        <w:rPr>
          <w:rFonts w:hint="eastAsia"/>
          <w:color w:val="auto"/>
          <w:highlight w:val="none"/>
        </w:rPr>
        <w:t>如未提供监狱企业相关证明材料的，则其</w:t>
      </w:r>
      <w:r>
        <w:rPr>
          <w:rFonts w:hint="eastAsia"/>
          <w:color w:val="auto"/>
          <w:highlight w:val="none"/>
          <w:lang w:val="en-US" w:eastAsia="zh-CN"/>
        </w:rPr>
        <w:t>评审</w:t>
      </w:r>
      <w:r>
        <w:rPr>
          <w:rFonts w:hint="eastAsia"/>
          <w:color w:val="auto"/>
          <w:highlight w:val="none"/>
        </w:rPr>
        <w:t>中的监狱企业不能享受</w:t>
      </w:r>
      <w:r>
        <w:rPr>
          <w:rFonts w:hint="eastAsia"/>
          <w:color w:val="auto"/>
          <w:highlight w:val="none"/>
          <w:lang w:val="en-US" w:eastAsia="zh-CN"/>
        </w:rPr>
        <w:t>招标</w:t>
      </w:r>
      <w:r>
        <w:rPr>
          <w:rFonts w:hint="eastAsia"/>
          <w:color w:val="auto"/>
          <w:highlight w:val="none"/>
        </w:rPr>
        <w:t>文件规定的价格扣除，但不影响</w:t>
      </w:r>
      <w:r>
        <w:rPr>
          <w:rFonts w:hint="eastAsia"/>
          <w:color w:val="auto"/>
          <w:highlight w:val="none"/>
          <w:lang w:val="en-US" w:eastAsia="zh-CN"/>
        </w:rPr>
        <w:t>投标</w:t>
      </w:r>
      <w:r>
        <w:rPr>
          <w:rFonts w:hint="eastAsia"/>
          <w:color w:val="auto"/>
          <w:highlight w:val="none"/>
        </w:rPr>
        <w:t>文件的有效性。</w:t>
      </w:r>
    </w:p>
    <w:p>
      <w:pPr>
        <w:pStyle w:val="49"/>
        <w:bidi w:val="0"/>
        <w:rPr>
          <w:rFonts w:hint="eastAsia"/>
          <w:color w:val="auto"/>
          <w:highlight w:val="none"/>
        </w:rPr>
      </w:pPr>
      <w:r>
        <w:rPr>
          <w:rFonts w:hint="eastAsia"/>
          <w:color w:val="auto"/>
          <w:highlight w:val="none"/>
          <w:lang w:val="en-US" w:eastAsia="zh-CN"/>
        </w:rPr>
        <w:t>③</w:t>
      </w:r>
      <w:r>
        <w:rPr>
          <w:rFonts w:hint="eastAsia"/>
          <w:color w:val="auto"/>
          <w:highlight w:val="none"/>
        </w:rPr>
        <w:t>非监狱企业</w:t>
      </w:r>
      <w:r>
        <w:rPr>
          <w:rFonts w:hint="eastAsia"/>
          <w:color w:val="auto"/>
          <w:highlight w:val="none"/>
          <w:lang w:val="en-US" w:eastAsia="zh-CN"/>
        </w:rPr>
        <w:t>无需提供证明材料</w:t>
      </w:r>
      <w:r>
        <w:rPr>
          <w:rFonts w:hint="eastAsia"/>
          <w:color w:val="auto"/>
          <w:highlight w:val="none"/>
        </w:rPr>
        <w:t>。</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7"/>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ascii="宋体" w:hAnsi="宋体" w:eastAsia="宋体"/>
          <w:color w:val="auto"/>
          <w:highlight w:val="none"/>
          <w:lang w:val="en-US" w:eastAsia="zh-CN"/>
        </w:rPr>
      </w:pPr>
      <w:bookmarkStart w:id="959" w:name="_Toc7140"/>
      <w:bookmarkStart w:id="960" w:name="_Toc30301"/>
      <w:bookmarkStart w:id="961" w:name="_Toc27384"/>
      <w:bookmarkStart w:id="962" w:name="_Toc9616"/>
      <w:r>
        <w:rPr>
          <w:rFonts w:hint="eastAsia"/>
          <w:color w:val="auto"/>
          <w:highlight w:val="none"/>
          <w:lang w:val="en-US" w:eastAsia="zh-CN"/>
        </w:rPr>
        <w:t>(三)</w:t>
      </w:r>
      <w:r>
        <w:rPr>
          <w:rFonts w:hint="eastAsia" w:ascii="宋体" w:hAnsi="宋体" w:eastAsia="宋体"/>
          <w:color w:val="auto"/>
          <w:highlight w:val="none"/>
          <w:lang w:val="en-US" w:eastAsia="zh-CN"/>
        </w:rPr>
        <w:t>残疾人福利性单位声明函(如涉及</w:t>
      </w:r>
      <w:bookmarkEnd w:id="959"/>
      <w:r>
        <w:rPr>
          <w:rFonts w:hint="eastAsia" w:ascii="宋体" w:hAnsi="宋体" w:eastAsia="宋体"/>
          <w:color w:val="auto"/>
          <w:highlight w:val="none"/>
          <w:lang w:val="en-US" w:eastAsia="zh-CN"/>
        </w:rPr>
        <w:t>)</w:t>
      </w:r>
      <w:bookmarkEnd w:id="960"/>
      <w:bookmarkEnd w:id="961"/>
      <w:bookmarkEnd w:id="962"/>
    </w:p>
    <w:p>
      <w:pPr>
        <w:pStyle w:val="29"/>
        <w:bidi w:val="0"/>
        <w:rPr>
          <w:rFonts w:hint="eastAsia"/>
          <w:color w:val="auto"/>
          <w:highlight w:val="none"/>
        </w:rPr>
      </w:pPr>
      <w:r>
        <w:rPr>
          <w:rFonts w:hint="eastAsia"/>
          <w:color w:val="auto"/>
          <w:highlight w:val="none"/>
        </w:rPr>
        <w:t>本单位郑重声明，根据《财政部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项目采购活动由本单位提供服务。</w:t>
      </w:r>
    </w:p>
    <w:p>
      <w:pPr>
        <w:pStyle w:val="29"/>
        <w:bidi w:val="0"/>
        <w:rPr>
          <w:rFonts w:hint="eastAsia"/>
          <w:color w:val="auto"/>
          <w:highlight w:val="none"/>
        </w:rPr>
      </w:pPr>
      <w:r>
        <w:rPr>
          <w:rFonts w:hint="eastAsia"/>
          <w:color w:val="auto"/>
          <w:highlight w:val="none"/>
        </w:rPr>
        <w:t>本单位对上述声明的真实性负责。如有虚假，将依法承担相应责任。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bookmarkEnd w:id="950"/>
      <w:bookmarkEnd w:id="951"/>
      <w:bookmarkEnd w:id="952"/>
      <w:bookmarkEnd w:id="953"/>
      <w:bookmarkEnd w:id="954"/>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p>
    <w:p>
      <w:pPr>
        <w:pStyle w:val="49"/>
        <w:bidi w:val="0"/>
        <w:rPr>
          <w:rFonts w:hint="eastAsia"/>
          <w:color w:val="auto"/>
          <w:highlight w:val="none"/>
          <w:lang w:val="en-US" w:eastAsia="zh-CN"/>
        </w:rPr>
      </w:pPr>
    </w:p>
    <w:p>
      <w:pPr>
        <w:pStyle w:val="49"/>
        <w:bidi w:val="0"/>
        <w:rPr>
          <w:rFonts w:hint="eastAsia"/>
          <w:color w:val="auto"/>
          <w:highlight w:val="none"/>
        </w:rPr>
      </w:pPr>
      <w:r>
        <w:rPr>
          <w:rFonts w:hint="eastAsia"/>
          <w:color w:val="auto"/>
          <w:highlight w:val="none"/>
          <w:lang w:val="en-US" w:eastAsia="zh-CN"/>
        </w:rPr>
        <w:t>说明：</w:t>
      </w:r>
      <w:r>
        <w:rPr>
          <w:rFonts w:hint="eastAsia"/>
          <w:color w:val="auto"/>
          <w:highlight w:val="none"/>
          <w:lang w:val="en-US" w:eastAsia="zh-CN"/>
        </w:rPr>
        <w:fldChar w:fldCharType="begin"/>
      </w:r>
      <w:r>
        <w:rPr>
          <w:rFonts w:hint="eastAsia"/>
          <w:color w:val="auto"/>
          <w:highlight w:val="none"/>
          <w:lang w:val="en-US" w:eastAsia="zh-CN"/>
        </w:rPr>
        <w:instrText xml:space="preserve"> = 1 \* GB3 \* MERGEFORMAT </w:instrText>
      </w:r>
      <w:r>
        <w:rPr>
          <w:rFonts w:hint="eastAsia"/>
          <w:color w:val="auto"/>
          <w:highlight w:val="none"/>
          <w:lang w:val="en-US" w:eastAsia="zh-CN"/>
        </w:rPr>
        <w:fldChar w:fldCharType="separate"/>
      </w:r>
      <w:r>
        <w:rPr>
          <w:rFonts w:hint="eastAsia"/>
          <w:color w:val="auto"/>
          <w:highlight w:val="none"/>
        </w:rPr>
        <w:t>①</w:t>
      </w:r>
      <w:r>
        <w:rPr>
          <w:rFonts w:hint="eastAsia"/>
          <w:color w:val="auto"/>
          <w:highlight w:val="none"/>
          <w:lang w:val="en-US" w:eastAsia="zh-CN"/>
        </w:rPr>
        <w:fldChar w:fldCharType="end"/>
      </w:r>
      <w:r>
        <w:rPr>
          <w:rFonts w:hint="eastAsia"/>
          <w:color w:val="auto"/>
          <w:highlight w:val="none"/>
        </w:rPr>
        <w:t>如未提供残疾人福利性单位声明函的，则其评审中的残疾人福利性单位不能享受招标文件规定的价格扣除</w:t>
      </w:r>
      <w:r>
        <w:rPr>
          <w:rFonts w:hint="eastAsia"/>
          <w:color w:val="auto"/>
          <w:highlight w:val="none"/>
          <w:lang w:eastAsia="zh-CN"/>
        </w:rPr>
        <w:t>。</w:t>
      </w:r>
      <w:r>
        <w:rPr>
          <w:rFonts w:hint="eastAsia"/>
          <w:color w:val="auto"/>
          <w:highlight w:val="none"/>
          <w:lang w:val="en-US" w:eastAsia="zh-CN"/>
        </w:rPr>
        <w:t>非残疾人福利性单位，不需提供此声明函，</w:t>
      </w:r>
      <w:r>
        <w:rPr>
          <w:rFonts w:hint="eastAsia"/>
          <w:color w:val="auto"/>
          <w:highlight w:val="none"/>
        </w:rPr>
        <w:t>不影响投标文件的有效性。</w:t>
      </w:r>
    </w:p>
    <w:p>
      <w:pPr>
        <w:pStyle w:val="49"/>
        <w:bidi w:val="0"/>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2 \* GB3 \* MERGEFORMAT </w:instrText>
      </w:r>
      <w:r>
        <w:rPr>
          <w:rFonts w:hint="eastAsia"/>
          <w:color w:val="auto"/>
          <w:highlight w:val="none"/>
          <w:lang w:val="en-US" w:eastAsia="zh-CN"/>
        </w:rPr>
        <w:fldChar w:fldCharType="separate"/>
      </w:r>
      <w:r>
        <w:rPr>
          <w:rFonts w:hint="eastAsia"/>
          <w:color w:val="auto"/>
          <w:highlight w:val="none"/>
        </w:rPr>
        <w:t>②</w:t>
      </w:r>
      <w:r>
        <w:rPr>
          <w:rFonts w:hint="eastAsia"/>
          <w:color w:val="auto"/>
          <w:highlight w:val="none"/>
          <w:lang w:val="en-US" w:eastAsia="zh-CN"/>
        </w:rPr>
        <w:fldChar w:fldCharType="end"/>
      </w:r>
      <w:r>
        <w:rPr>
          <w:rFonts w:hint="eastAsia"/>
          <w:color w:val="auto"/>
          <w:highlight w:val="none"/>
          <w:lang w:val="en-US" w:eastAsia="zh-CN"/>
        </w:rPr>
        <w:t>投标人参加政府采购活动时，提供虚假残疾人福利性单位声明函的，以提供虚假材料谋取中标处理。</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p>
    <w:p>
      <w:pPr>
        <w:pStyle w:val="47"/>
        <w:numPr>
          <w:ilvl w:val="0"/>
          <w:numId w:val="23"/>
        </w:numPr>
        <w:bidi w:val="0"/>
        <w:ind w:left="0" w:leftChars="0" w:firstLine="0" w:firstLineChars="0"/>
        <w:rPr>
          <w:rFonts w:hint="eastAsia"/>
          <w:color w:val="auto"/>
          <w:highlight w:val="none"/>
          <w:lang w:val="en-US" w:eastAsia="zh-CN"/>
        </w:rPr>
      </w:pPr>
      <w:bookmarkStart w:id="963" w:name="_Toc12818"/>
      <w:bookmarkStart w:id="964" w:name="_Toc16092"/>
      <w:bookmarkStart w:id="965" w:name="_Toc20002"/>
      <w:bookmarkStart w:id="966" w:name="_Toc18724"/>
      <w:bookmarkStart w:id="967" w:name="_Toc881"/>
      <w:r>
        <w:rPr>
          <w:rFonts w:hint="eastAsia"/>
          <w:color w:val="auto"/>
          <w:highlight w:val="none"/>
          <w:lang w:val="en-US" w:eastAsia="zh-CN"/>
        </w:rPr>
        <w:t>服务方案</w:t>
      </w:r>
      <w:bookmarkEnd w:id="963"/>
      <w:bookmarkEnd w:id="964"/>
      <w:bookmarkEnd w:id="965"/>
    </w:p>
    <w:p>
      <w:pPr>
        <w:pStyle w:val="49"/>
        <w:bidi w:val="0"/>
        <w:rPr>
          <w:rFonts w:hint="eastAsia"/>
          <w:color w:val="auto"/>
          <w:highlight w:val="none"/>
          <w:lang w:val="en-US" w:eastAsia="zh-CN"/>
        </w:rPr>
      </w:pPr>
      <w:r>
        <w:rPr>
          <w:rFonts w:hint="eastAsia"/>
          <w:color w:val="auto"/>
          <w:highlight w:val="none"/>
          <w:lang w:val="en-US" w:eastAsia="zh-CN"/>
        </w:rPr>
        <w:t>注：格式自拟。</w:t>
      </w:r>
    </w:p>
    <w:p>
      <w:pPr>
        <w:pStyle w:val="47"/>
        <w:numPr>
          <w:ilvl w:val="0"/>
          <w:numId w:val="23"/>
        </w:numPr>
        <w:bidi w:val="0"/>
        <w:ind w:left="0" w:leftChars="0" w:firstLine="0" w:firstLineChars="0"/>
        <w:rPr>
          <w:rFonts w:hint="eastAsia"/>
          <w:color w:val="auto"/>
          <w:highlight w:val="none"/>
          <w:lang w:val="en-US" w:eastAsia="zh-CN"/>
        </w:rPr>
      </w:pPr>
      <w:bookmarkStart w:id="968" w:name="_Toc20330"/>
      <w:bookmarkStart w:id="969" w:name="_Toc32188"/>
      <w:r>
        <w:rPr>
          <w:rFonts w:hint="eastAsia"/>
          <w:color w:val="auto"/>
          <w:highlight w:val="none"/>
          <w:lang w:val="en-US" w:eastAsia="zh-CN"/>
        </w:rPr>
        <w:t>招标代理服务费承诺函</w:t>
      </w:r>
      <w:bookmarkEnd w:id="968"/>
      <w:bookmarkEnd w:id="969"/>
    </w:p>
    <w:p>
      <w:pPr>
        <w:pStyle w:val="26"/>
        <w:bidi w:val="0"/>
        <w:rPr>
          <w:rFonts w:hint="eastAsia"/>
          <w:color w:val="auto"/>
          <w:highlight w:val="none"/>
        </w:rPr>
      </w:pPr>
      <w:r>
        <w:rPr>
          <w:rFonts w:hint="eastAsia"/>
          <w:color w:val="auto"/>
          <w:highlight w:val="none"/>
        </w:rPr>
        <w:t>四川乾新招投标代理有限公司：</w:t>
      </w:r>
    </w:p>
    <w:p>
      <w:pPr>
        <w:pStyle w:val="29"/>
        <w:bidi w:val="0"/>
        <w:rPr>
          <w:rFonts w:hint="eastAsia"/>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如因我公司自身原因造成取消中标资格或自愿放弃中标资格的，我司支付的招标代理服务费不予退还，由此造成的损失由我方自行承担。</w:t>
      </w:r>
    </w:p>
    <w:p>
      <w:pPr>
        <w:pStyle w:val="29"/>
        <w:bidi w:val="0"/>
        <w:rPr>
          <w:rFonts w:hint="eastAsia"/>
          <w:color w:val="auto"/>
          <w:highlight w:val="none"/>
        </w:rPr>
      </w:pPr>
    </w:p>
    <w:p>
      <w:pPr>
        <w:pStyle w:val="29"/>
        <w:bidi w:val="0"/>
        <w:rPr>
          <w:rFonts w:hint="eastAsia"/>
          <w:color w:val="auto"/>
          <w:highlight w:val="none"/>
        </w:rPr>
      </w:pPr>
    </w:p>
    <w:p>
      <w:pPr>
        <w:pStyle w:val="29"/>
        <w:bidi w:val="0"/>
        <w:rPr>
          <w:rFonts w:hint="eastAsia"/>
          <w:color w:val="auto"/>
          <w:highlight w:val="none"/>
        </w:rPr>
      </w:pPr>
      <w:r>
        <w:rPr>
          <w:rFonts w:hint="eastAsia"/>
          <w:color w:val="auto"/>
          <w:highlight w:val="none"/>
        </w:rPr>
        <w:t>特此承诺。</w:t>
      </w:r>
    </w:p>
    <w:p>
      <w:pPr>
        <w:pStyle w:val="26"/>
        <w:bidi w:val="0"/>
        <w:rPr>
          <w:rFonts w:hint="eastAsia"/>
          <w:color w:val="auto"/>
          <w:highlight w:val="none"/>
        </w:rPr>
      </w:pPr>
    </w:p>
    <w:p>
      <w:pPr>
        <w:pStyle w:val="26"/>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26"/>
        <w:bidi w:val="0"/>
        <w:rPr>
          <w:rFonts w:hint="eastAsia"/>
          <w:color w:val="auto"/>
          <w:highlight w:val="none"/>
        </w:rPr>
      </w:pPr>
    </w:p>
    <w:p>
      <w:pPr>
        <w:pStyle w:val="26"/>
        <w:bidi w:val="0"/>
        <w:rPr>
          <w:rFonts w:hint="eastAsia"/>
          <w:color w:val="auto"/>
          <w:highlight w:val="none"/>
        </w:rPr>
      </w:pPr>
      <w:r>
        <w:rPr>
          <w:rFonts w:hint="eastAsia"/>
          <w:color w:val="auto"/>
          <w:highlight w:val="none"/>
        </w:rPr>
        <w:br w:type="page"/>
      </w:r>
    </w:p>
    <w:bookmarkEnd w:id="966"/>
    <w:bookmarkEnd w:id="967"/>
    <w:p>
      <w:pPr>
        <w:pStyle w:val="25"/>
        <w:numPr>
          <w:ilvl w:val="0"/>
          <w:numId w:val="12"/>
        </w:numPr>
        <w:bidi w:val="0"/>
        <w:rPr>
          <w:rFonts w:hint="eastAsia"/>
          <w:b/>
          <w:color w:val="auto"/>
          <w:w w:val="95"/>
          <w:highlight w:val="none"/>
          <w:lang w:val="en-US" w:eastAsia="zh-CN"/>
        </w:rPr>
      </w:pPr>
      <w:bookmarkStart w:id="970" w:name="_Toc23987"/>
      <w:bookmarkStart w:id="971" w:name="_Toc1941"/>
      <w:bookmarkStart w:id="972" w:name="_Toc23934"/>
      <w:bookmarkStart w:id="973" w:name="_Toc17786"/>
      <w:bookmarkStart w:id="974" w:name="_Toc8502"/>
      <w:bookmarkStart w:id="975" w:name="_Toc24042"/>
      <w:bookmarkStart w:id="976" w:name="_Toc10576"/>
      <w:r>
        <w:rPr>
          <w:rFonts w:hint="eastAsia"/>
          <w:b/>
          <w:color w:val="auto"/>
          <w:w w:val="95"/>
          <w:highlight w:val="none"/>
          <w:lang w:val="en-US" w:eastAsia="zh-CN"/>
        </w:rPr>
        <w:t>投标人和投标产品的资格、资质性</w:t>
      </w:r>
      <w:bookmarkStart w:id="977" w:name="_Toc21759"/>
      <w:bookmarkStart w:id="978" w:name="_Toc17884"/>
      <w:bookmarkStart w:id="979" w:name="_Toc307564882"/>
      <w:bookmarkStart w:id="980" w:name="_Toc307501136"/>
      <w:bookmarkStart w:id="981" w:name="_Toc327196317"/>
      <w:bookmarkStart w:id="982" w:name="_Toc319439931"/>
      <w:r>
        <w:rPr>
          <w:rFonts w:hint="eastAsia"/>
          <w:b/>
          <w:color w:val="auto"/>
          <w:w w:val="95"/>
          <w:highlight w:val="none"/>
          <w:lang w:val="en-US" w:eastAsia="zh-CN"/>
        </w:rPr>
        <w:t>及其他类似效力要求</w:t>
      </w:r>
      <w:bookmarkEnd w:id="970"/>
      <w:bookmarkEnd w:id="971"/>
      <w:bookmarkEnd w:id="972"/>
      <w:bookmarkEnd w:id="973"/>
      <w:bookmarkEnd w:id="977"/>
      <w:bookmarkEnd w:id="978"/>
      <w:bookmarkEnd w:id="979"/>
      <w:bookmarkEnd w:id="980"/>
      <w:bookmarkEnd w:id="981"/>
      <w:bookmarkEnd w:id="982"/>
    </w:p>
    <w:bookmarkEnd w:id="974"/>
    <w:bookmarkEnd w:id="975"/>
    <w:bookmarkEnd w:id="976"/>
    <w:p>
      <w:pPr>
        <w:pStyle w:val="24"/>
        <w:numPr>
          <w:ilvl w:val="1"/>
          <w:numId w:val="12"/>
        </w:numPr>
        <w:bidi w:val="0"/>
        <w:rPr>
          <w:rFonts w:hint="eastAsia"/>
          <w:color w:val="auto"/>
          <w:highlight w:val="none"/>
          <w:lang w:val="zh-CN"/>
        </w:rPr>
      </w:pPr>
      <w:bookmarkStart w:id="983" w:name="_Toc13533"/>
      <w:bookmarkStart w:id="984" w:name="_Toc30456"/>
      <w:bookmarkStart w:id="985" w:name="_Toc5268"/>
      <w:bookmarkStart w:id="986" w:name="_Toc14656"/>
      <w:bookmarkStart w:id="987" w:name="_Toc18335"/>
      <w:bookmarkStart w:id="988" w:name="_Toc4824"/>
      <w:r>
        <w:rPr>
          <w:rFonts w:hint="eastAsia"/>
          <w:color w:val="auto"/>
          <w:highlight w:val="none"/>
        </w:rPr>
        <w:t>投标人资格、资质性及其他类似效力要求</w:t>
      </w:r>
      <w:bookmarkEnd w:id="983"/>
      <w:bookmarkEnd w:id="984"/>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(一)符合《中华人民共和国政府采购法》第二十二条规定的条件：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1.具有独立承担</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"http://www.lawtime.cn/info/minfa/mszeren/" \t "_blank" </w:instrText>
      </w:r>
      <w:r>
        <w:rPr>
          <w:rFonts w:hint="eastAsia"/>
          <w:color w:val="auto"/>
          <w:highlight w:val="none"/>
          <w:lang w:val="en-US" w:eastAsia="zh-CN"/>
        </w:rPr>
        <w:fldChar w:fldCharType="separate"/>
      </w:r>
      <w:r>
        <w:rPr>
          <w:rFonts w:hint="eastAsia"/>
          <w:color w:val="auto"/>
          <w:highlight w:val="none"/>
          <w:lang w:val="en-US" w:eastAsia="zh-CN"/>
        </w:rPr>
        <w:t>民事责任</w:t>
      </w:r>
      <w:r>
        <w:rPr>
          <w:rFonts w:hint="eastAsia"/>
          <w:color w:val="auto"/>
          <w:highlight w:val="none"/>
          <w:lang w:val="en-US" w:eastAsia="zh-CN"/>
        </w:rPr>
        <w:fldChar w:fldCharType="end"/>
      </w:r>
      <w:r>
        <w:rPr>
          <w:rFonts w:hint="eastAsia"/>
          <w:color w:val="auto"/>
          <w:highlight w:val="none"/>
          <w:lang w:val="en-US" w:eastAsia="zh-CN"/>
        </w:rPr>
        <w:t>的能力；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2.具有良好的商业信誉和健全的财务会计制度；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3.具有履行合同所必需的设备和专业技术能力；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5.参加政府采购活动前三年内，在经营活动中没有重大违法记录；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(二)本项目的特定资格要求：</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1.具备国家卫生部门颁发的《医疗机构执业许可证》(投标人为军队医院的应具有《军队单位对外有偿服务许可证》)；具备有效的《放射诊疗许可证》或者《安全辐射许可证》；</w:t>
      </w:r>
    </w:p>
    <w:p>
      <w:pPr>
        <w:pStyle w:val="26"/>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color w:val="auto"/>
          <w:highlight w:val="none"/>
          <w:lang w:val="zh-CN"/>
        </w:rPr>
      </w:pPr>
      <w:r>
        <w:rPr>
          <w:rFonts w:hint="eastAsia"/>
          <w:color w:val="auto"/>
          <w:highlight w:val="none"/>
          <w:lang w:val="en-US" w:eastAsia="zh-CN"/>
        </w:rPr>
        <w:t>2.本项目不接受联合体投标。</w:t>
      </w:r>
    </w:p>
    <w:p>
      <w:pPr>
        <w:pStyle w:val="24"/>
        <w:numPr>
          <w:ilvl w:val="1"/>
          <w:numId w:val="12"/>
        </w:numPr>
        <w:bidi w:val="0"/>
        <w:rPr>
          <w:rFonts w:hint="eastAsia"/>
          <w:color w:val="auto"/>
          <w:highlight w:val="none"/>
        </w:rPr>
      </w:pPr>
      <w:bookmarkStart w:id="989" w:name="_Toc25487"/>
      <w:r>
        <w:rPr>
          <w:rFonts w:hint="eastAsia"/>
          <w:color w:val="auto"/>
          <w:highlight w:val="none"/>
        </w:rPr>
        <w:t>投标产品的资格、资质性及其他类似效力要求</w:t>
      </w:r>
      <w:bookmarkEnd w:id="985"/>
      <w:bookmarkEnd w:id="986"/>
      <w:bookmarkEnd w:id="987"/>
      <w:bookmarkEnd w:id="988"/>
      <w:bookmarkEnd w:id="989"/>
    </w:p>
    <w:p>
      <w:pPr>
        <w:pStyle w:val="29"/>
        <w:bidi w:val="0"/>
        <w:rPr>
          <w:rFonts w:hint="eastAsia"/>
          <w:color w:val="auto"/>
          <w:highlight w:val="none"/>
          <w:lang w:val="en-US" w:eastAsia="zh-CN"/>
        </w:rPr>
      </w:pPr>
      <w:r>
        <w:rPr>
          <w:rFonts w:hint="eastAsia"/>
          <w:color w:val="auto"/>
          <w:highlight w:val="none"/>
          <w:lang w:val="en-US" w:eastAsia="zh-CN"/>
        </w:rPr>
        <w:t>无。</w:t>
      </w:r>
    </w:p>
    <w:p>
      <w:pPr>
        <w:pStyle w:val="24"/>
        <w:numPr>
          <w:ilvl w:val="1"/>
          <w:numId w:val="12"/>
        </w:numPr>
        <w:bidi w:val="0"/>
        <w:rPr>
          <w:rFonts w:hint="eastAsia"/>
          <w:color w:val="auto"/>
          <w:highlight w:val="none"/>
          <w:lang w:val="en-US" w:eastAsia="zh-CN"/>
        </w:rPr>
      </w:pPr>
      <w:bookmarkStart w:id="990" w:name="_Toc5239"/>
      <w:bookmarkStart w:id="991" w:name="_Toc3740"/>
      <w:r>
        <w:rPr>
          <w:rFonts w:hint="eastAsia"/>
          <w:color w:val="auto"/>
          <w:highlight w:val="none"/>
          <w:lang w:val="en-US" w:eastAsia="zh-CN"/>
        </w:rPr>
        <w:t>其他类似效力要求</w:t>
      </w:r>
      <w:bookmarkEnd w:id="990"/>
      <w:bookmarkEnd w:id="991"/>
    </w:p>
    <w:p>
      <w:pPr>
        <w:pStyle w:val="37"/>
        <w:numPr>
          <w:ilvl w:val="1"/>
          <w:numId w:val="26"/>
        </w:numPr>
        <w:bidi w:val="0"/>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37"/>
        <w:numPr>
          <w:ilvl w:val="1"/>
          <w:numId w:val="26"/>
        </w:numPr>
        <w:bidi w:val="0"/>
        <w:rPr>
          <w:rFonts w:hint="eastAsia"/>
          <w:color w:val="auto"/>
          <w:highlight w:val="none"/>
        </w:rPr>
      </w:pPr>
      <w:r>
        <w:rPr>
          <w:rFonts w:hint="eastAsia"/>
          <w:color w:val="auto"/>
          <w:highlight w:val="none"/>
          <w:lang w:val="zh-CN"/>
        </w:rPr>
        <w:t>供应商不得为“信用中国”网站</w:t>
      </w:r>
      <w:r>
        <w:rPr>
          <w:rFonts w:hint="eastAsia"/>
          <w:color w:val="auto"/>
          <w:highlight w:val="none"/>
          <w:lang w:val="zh-CN" w:eastAsia="zh-CN"/>
        </w:rPr>
        <w:t>(</w:t>
      </w:r>
      <w:r>
        <w:rPr>
          <w:rFonts w:hint="eastAsia"/>
          <w:color w:val="auto"/>
          <w:highlight w:val="none"/>
          <w:lang w:val="zh-CN"/>
        </w:rPr>
        <w:t>www.creditchina.gov.cn</w:t>
      </w:r>
      <w:r>
        <w:rPr>
          <w:rFonts w:hint="eastAsia"/>
          <w:color w:val="auto"/>
          <w:highlight w:val="none"/>
          <w:lang w:val="zh-CN" w:eastAsia="zh-CN"/>
        </w:rPr>
        <w:t>)</w:t>
      </w:r>
      <w:r>
        <w:rPr>
          <w:rFonts w:hint="eastAsia"/>
          <w:color w:val="auto"/>
          <w:highlight w:val="none"/>
          <w:lang w:val="zh-CN"/>
        </w:rPr>
        <w:t>中列入失信被执行人和重大税收违法案件当事人名单的供应商，不得为</w:t>
      </w:r>
      <w:r>
        <w:rPr>
          <w:rFonts w:hint="eastAsia"/>
          <w:color w:val="auto"/>
          <w:highlight w:val="none"/>
          <w:lang w:val="zh-CN" w:eastAsia="zh-CN"/>
        </w:rPr>
        <w:t>“中国政府采购网”(</w:t>
      </w:r>
      <w:r>
        <w:rPr>
          <w:rFonts w:hint="eastAsia"/>
          <w:color w:val="auto"/>
          <w:highlight w:val="none"/>
          <w:lang w:val="zh-CN"/>
        </w:rPr>
        <w:t>www.ccgp.gov.cn</w:t>
      </w:r>
      <w:r>
        <w:rPr>
          <w:rFonts w:hint="eastAsia"/>
          <w:color w:val="auto"/>
          <w:highlight w:val="none"/>
          <w:lang w:val="zh-CN" w:eastAsia="zh-CN"/>
        </w:rPr>
        <w:t>)</w:t>
      </w:r>
      <w:r>
        <w:rPr>
          <w:rFonts w:hint="eastAsia"/>
          <w:color w:val="auto"/>
          <w:highlight w:val="none"/>
          <w:lang w:val="zh-CN"/>
        </w:rPr>
        <w:t>政府采购严重违法失信行为记录名单中被财政部门禁止参加政府采购活动的供应商</w:t>
      </w:r>
      <w:r>
        <w:rPr>
          <w:rFonts w:hint="eastAsia"/>
          <w:color w:val="auto"/>
          <w:highlight w:val="none"/>
          <w:lang w:val="zh-CN" w:eastAsia="zh-CN"/>
        </w:rPr>
        <w:t>(</w:t>
      </w:r>
      <w:r>
        <w:rPr>
          <w:rFonts w:hint="eastAsia"/>
          <w:color w:val="auto"/>
          <w:highlight w:val="none"/>
          <w:lang w:val="zh-CN"/>
        </w:rPr>
        <w:t>处罚决定规定的时间和地域范围内</w:t>
      </w:r>
      <w:r>
        <w:rPr>
          <w:rFonts w:hint="eastAsia"/>
          <w:color w:val="auto"/>
          <w:highlight w:val="none"/>
          <w:lang w:val="zh-CN" w:eastAsia="zh-CN"/>
        </w:rPr>
        <w:t>)；</w:t>
      </w:r>
    </w:p>
    <w:p>
      <w:pPr>
        <w:pStyle w:val="37"/>
        <w:numPr>
          <w:ilvl w:val="1"/>
          <w:numId w:val="26"/>
        </w:numPr>
        <w:bidi w:val="0"/>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37"/>
        <w:numPr>
          <w:ilvl w:val="1"/>
          <w:numId w:val="26"/>
        </w:numPr>
        <w:bidi w:val="0"/>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29"/>
        <w:bidi w:val="0"/>
        <w:rPr>
          <w:rFonts w:hint="eastAsia"/>
          <w:b/>
          <w:bCs/>
          <w:color w:val="auto"/>
          <w:highlight w:val="none"/>
        </w:rPr>
      </w:pPr>
      <w:bookmarkStart w:id="992" w:name="_Toc24888"/>
      <w:r>
        <w:rPr>
          <w:rFonts w:hint="eastAsia"/>
          <w:b/>
          <w:bCs/>
          <w:color w:val="auto"/>
          <w:highlight w:val="none"/>
        </w:rPr>
        <w:t>注：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9"/>
        <w:bidi w:val="0"/>
        <w:rPr>
          <w:rFonts w:hint="eastAsia"/>
          <w:color w:val="auto"/>
          <w:highlight w:val="none"/>
        </w:rPr>
      </w:pPr>
      <w:r>
        <w:rPr>
          <w:rFonts w:hint="eastAsia"/>
          <w:color w:val="auto"/>
          <w:highlight w:val="none"/>
        </w:rPr>
        <w:t>重大违法记录中的较大数额罚款的具体金额标准及范围是：</w:t>
      </w:r>
      <w:r>
        <w:rPr>
          <w:rFonts w:hint="eastAsia"/>
          <w:color w:val="auto"/>
          <w:highlight w:val="none"/>
          <w:lang w:val="en-US" w:eastAsia="zh-CN"/>
        </w:rPr>
        <w:t>根据</w:t>
      </w:r>
      <w:bookmarkStart w:id="993" w:name="sendNo"/>
      <w:r>
        <w:rPr>
          <w:rFonts w:hint="eastAsia"/>
          <w:color w:val="auto"/>
          <w:highlight w:val="none"/>
          <w:lang w:val="en-US" w:eastAsia="zh-CN"/>
        </w:rPr>
        <w:t>财库〔2022〕3 号</w:t>
      </w:r>
      <w:bookmarkEnd w:id="993"/>
      <w:r>
        <w:rPr>
          <w:rFonts w:hint="eastAsia"/>
          <w:color w:val="auto"/>
          <w:highlight w:val="none"/>
          <w:lang w:val="en-US" w:eastAsia="zh-CN"/>
        </w:rPr>
        <w:t>文件关于</w:t>
      </w:r>
      <w:r>
        <w:rPr>
          <w:rFonts w:hint="eastAsia"/>
          <w:color w:val="auto"/>
          <w:highlight w:val="none"/>
        </w:rPr>
        <w:t>“较大数额罚款”认定为200万元以上的罚款，法律、行政法规以及国务院有关部门明确规定相关领域“较大数额罚款”标准高于200万元的，从其规定</w:t>
      </w:r>
      <w:r>
        <w:rPr>
          <w:rFonts w:hint="eastAsia"/>
          <w:color w:val="auto"/>
          <w:highlight w:val="none"/>
          <w:lang w:val="en-US" w:eastAsia="zh-CN"/>
        </w:rPr>
        <w:t>。</w:t>
      </w:r>
    </w:p>
    <w:p>
      <w:pPr>
        <w:pStyle w:val="25"/>
        <w:numPr>
          <w:ilvl w:val="0"/>
          <w:numId w:val="12"/>
        </w:numPr>
        <w:bidi w:val="0"/>
        <w:rPr>
          <w:rFonts w:hint="eastAsia"/>
          <w:color w:val="auto"/>
          <w:highlight w:val="none"/>
          <w:lang w:val="en-US" w:eastAsia="zh-CN"/>
        </w:rPr>
      </w:pPr>
      <w:r>
        <w:rPr>
          <w:rFonts w:hint="eastAsia"/>
          <w:color w:val="auto"/>
          <w:highlight w:val="none"/>
        </w:rPr>
        <w:br w:type="page"/>
      </w:r>
      <w:bookmarkEnd w:id="992"/>
      <w:bookmarkStart w:id="994" w:name="_Toc18196"/>
      <w:bookmarkStart w:id="995" w:name="_Toc15258"/>
      <w:bookmarkStart w:id="996" w:name="_Toc22998"/>
      <w:r>
        <w:rPr>
          <w:rFonts w:hint="eastAsia"/>
          <w:color w:val="auto"/>
          <w:highlight w:val="none"/>
          <w:lang w:val="en-US" w:eastAsia="zh-CN"/>
        </w:rPr>
        <w:t>资格性审查</w:t>
      </w:r>
      <w:bookmarkEnd w:id="994"/>
      <w:r>
        <w:rPr>
          <w:rFonts w:hint="eastAsia"/>
          <w:color w:val="auto"/>
          <w:highlight w:val="none"/>
          <w:lang w:val="en-US" w:eastAsia="zh-CN"/>
        </w:rPr>
        <w:t>内容</w:t>
      </w:r>
      <w:bookmarkEnd w:id="995"/>
      <w:bookmarkEnd w:id="996"/>
    </w:p>
    <w:p>
      <w:pPr>
        <w:pStyle w:val="24"/>
        <w:numPr>
          <w:ilvl w:val="1"/>
          <w:numId w:val="12"/>
        </w:numPr>
        <w:bidi w:val="0"/>
        <w:rPr>
          <w:rFonts w:hint="eastAsia"/>
          <w:color w:val="auto"/>
          <w:highlight w:val="none"/>
        </w:rPr>
      </w:pPr>
      <w:bookmarkStart w:id="997" w:name="_Toc17175"/>
      <w:bookmarkStart w:id="998" w:name="_Toc17621"/>
      <w:bookmarkStart w:id="999" w:name="_Toc30344"/>
      <w:bookmarkStart w:id="1000" w:name="_Toc9550"/>
      <w:bookmarkStart w:id="1001" w:name="_Toc3107"/>
      <w:bookmarkStart w:id="1002" w:name="_Toc28265"/>
      <w:bookmarkStart w:id="1003" w:name="_Toc141"/>
      <w:bookmarkStart w:id="1004" w:name="_Toc20678"/>
      <w:bookmarkStart w:id="1005" w:name="_Toc10631"/>
      <w:bookmarkStart w:id="1006"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资格、资质性及其他类似效力要求的相关证明材料</w:t>
      </w:r>
      <w:bookmarkEnd w:id="997"/>
      <w:bookmarkEnd w:id="998"/>
      <w:bookmarkEnd w:id="999"/>
      <w:bookmarkEnd w:id="1000"/>
      <w:bookmarkEnd w:id="1001"/>
      <w:bookmarkEnd w:id="1002"/>
    </w:p>
    <w:p>
      <w:pPr>
        <w:pStyle w:val="37"/>
        <w:numPr>
          <w:ilvl w:val="1"/>
          <w:numId w:val="27"/>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29"/>
        <w:bidi w:val="0"/>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若为企业法人：提供“营业执照”；未换证的提供“营业执照、税务登记证、组织机构代码证”；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49"/>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49"/>
        <w:bidi w:val="0"/>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等政策要求，若资格要求涉及的登记、备案等有关事项和各类证照已实行多证合一</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37"/>
        <w:numPr>
          <w:ilvl w:val="1"/>
          <w:numId w:val="27"/>
        </w:numPr>
        <w:bidi w:val="0"/>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29"/>
        <w:bidi w:val="0"/>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29"/>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29"/>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格式自拟，或参照《符合&lt;中华人民共和国政府采购法&gt;第二十二条规定的条件的承诺及声明函》的格式提供承诺函</w:t>
      </w:r>
      <w:r>
        <w:rPr>
          <w:rFonts w:hint="eastAsia"/>
          <w:b/>
          <w:bCs w:val="0"/>
          <w:color w:val="auto"/>
          <w:highlight w:val="none"/>
          <w:lang w:eastAsia="zh-CN"/>
        </w:rPr>
        <w:t>。</w:t>
      </w:r>
    </w:p>
    <w:p>
      <w:pPr>
        <w:pStyle w:val="29"/>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29"/>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29"/>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29"/>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29"/>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29"/>
        <w:bidi w:val="0"/>
        <w:rPr>
          <w:rFonts w:hint="eastAsia"/>
          <w:color w:val="auto"/>
          <w:highlight w:val="none"/>
          <w:lang w:val="en-US" w:eastAsia="zh-CN"/>
        </w:rPr>
      </w:pPr>
      <w:r>
        <w:rPr>
          <w:rFonts w:hint="eastAsia"/>
          <w:color w:val="auto"/>
          <w:highlight w:val="none"/>
          <w:lang w:val="en-US" w:eastAsia="zh-CN"/>
        </w:rPr>
        <w:t>(5)投标人提供</w:t>
      </w:r>
      <w:r>
        <w:rPr>
          <w:rFonts w:hint="eastAsia"/>
          <w:color w:val="auto"/>
          <w:highlight w:val="none"/>
        </w:rPr>
        <w:t>具</w:t>
      </w:r>
      <w:r>
        <w:rPr>
          <w:rFonts w:hint="eastAsia"/>
          <w:color w:val="auto"/>
          <w:highlight w:val="none"/>
          <w:lang w:val="en-US" w:eastAsia="zh-CN"/>
        </w:rPr>
        <w:t>有健全的财务会计制度的</w:t>
      </w:r>
      <w:r>
        <w:rPr>
          <w:rFonts w:hint="eastAsia"/>
          <w:color w:val="auto"/>
          <w:highlight w:val="none"/>
        </w:rPr>
        <w:t>承诺函</w:t>
      </w:r>
      <w:r>
        <w:rPr>
          <w:rFonts w:hint="eastAsia"/>
          <w:color w:val="auto"/>
          <w:highlight w:val="none"/>
          <w:lang w:eastAsia="zh-CN"/>
        </w:rPr>
        <w:t>。</w:t>
      </w:r>
    </w:p>
    <w:p>
      <w:pPr>
        <w:pStyle w:val="49"/>
        <w:bidi w:val="0"/>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37"/>
        <w:numPr>
          <w:ilvl w:val="1"/>
          <w:numId w:val="27"/>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29"/>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49"/>
        <w:bidi w:val="0"/>
        <w:rPr>
          <w:rFonts w:hint="eastAsia"/>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7"/>
        </w:numPr>
        <w:bidi w:val="0"/>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29"/>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49"/>
        <w:bidi w:val="0"/>
        <w:rPr>
          <w:rFonts w:hint="default"/>
          <w:color w:val="auto"/>
          <w:highlight w:val="none"/>
          <w:lang w:val="en-US" w:eastAsia="zh-CN"/>
        </w:rPr>
      </w:pPr>
      <w:r>
        <w:rPr>
          <w:rFonts w:hint="eastAsia"/>
          <w:color w:val="auto"/>
          <w:highlight w:val="none"/>
          <w:lang w:val="en-US" w:eastAsia="zh-CN"/>
        </w:rPr>
        <w:t>注：格式自拟，或参照《符合&lt;中华人民共和国政府采购法&gt;第二十二条规定的条件的承诺及声明函》的格式提供承诺函。</w:t>
      </w:r>
    </w:p>
    <w:p>
      <w:pPr>
        <w:pStyle w:val="37"/>
        <w:numPr>
          <w:ilvl w:val="1"/>
          <w:numId w:val="27"/>
        </w:numPr>
        <w:bidi w:val="0"/>
        <w:rPr>
          <w:rFonts w:hint="eastAsia"/>
          <w:b/>
          <w:bCs/>
          <w:color w:val="auto"/>
          <w:highlight w:val="none"/>
          <w:lang w:eastAsia="zh-CN"/>
        </w:rPr>
      </w:pPr>
      <w:r>
        <w:rPr>
          <w:rFonts w:hint="eastAsia"/>
          <w:b/>
          <w:bCs/>
          <w:color w:val="auto"/>
          <w:highlight w:val="none"/>
          <w:lang w:val="en-US" w:eastAsia="zh-CN"/>
        </w:rPr>
        <w:t>投标人参加政府采购活动前三年内，在经营活动中没有重大违法记录的证明材料；</w:t>
      </w:r>
    </w:p>
    <w:p>
      <w:pPr>
        <w:pStyle w:val="29"/>
        <w:bidi w:val="0"/>
        <w:rPr>
          <w:rFonts w:hint="eastAsia"/>
          <w:color w:val="auto"/>
          <w:highlight w:val="none"/>
          <w:lang w:val="en-US" w:eastAsia="zh-CN"/>
        </w:rPr>
      </w:pPr>
      <w:r>
        <w:rPr>
          <w:rFonts w:hint="eastAsia"/>
          <w:color w:val="auto"/>
          <w:highlight w:val="none"/>
          <w:lang w:val="en-US" w:eastAsia="zh-CN"/>
        </w:rPr>
        <w:t>提供参加本次政府采购活动前三年内，在经营活动中没有重大违法记录的书面声明(成立不足三年的，从成立之日起计算)。</w:t>
      </w:r>
    </w:p>
    <w:p>
      <w:pPr>
        <w:pStyle w:val="37"/>
        <w:numPr>
          <w:ilvl w:val="1"/>
          <w:numId w:val="27"/>
        </w:numPr>
        <w:bidi w:val="0"/>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9"/>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9"/>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28"/>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7"/>
        <w:numPr>
          <w:ilvl w:val="1"/>
          <w:numId w:val="27"/>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授权书原件</w:t>
      </w:r>
      <w:r>
        <w:rPr>
          <w:rFonts w:hint="eastAsia"/>
          <w:b/>
          <w:bCs/>
          <w:color w:val="auto"/>
          <w:highlight w:val="none"/>
          <w:lang w:val="en-US" w:eastAsia="zh-CN"/>
        </w:rPr>
        <w:t>；</w:t>
      </w:r>
    </w:p>
    <w:p>
      <w:pPr>
        <w:pStyle w:val="49"/>
        <w:bidi w:val="0"/>
        <w:rPr>
          <w:rFonts w:hint="eastAsia"/>
          <w:color w:val="auto"/>
          <w:highlight w:val="none"/>
          <w:lang w:eastAsia="zh-CN"/>
        </w:rPr>
      </w:pPr>
      <w:r>
        <w:rPr>
          <w:rFonts w:hint="eastAsia"/>
          <w:color w:val="auto"/>
          <w:highlight w:val="none"/>
          <w:lang w:val="en-US" w:eastAsia="zh-CN"/>
        </w:rPr>
        <w:t>注：</w:t>
      </w:r>
      <w:r>
        <w:rPr>
          <w:rFonts w:hint="eastAsia"/>
          <w:color w:val="auto"/>
          <w:highlight w:val="none"/>
          <w:lang w:eastAsia="zh-CN"/>
        </w:rPr>
        <w:t>①附法定代表人</w:t>
      </w:r>
      <w:r>
        <w:rPr>
          <w:rFonts w:hint="eastAsia"/>
          <w:color w:val="auto"/>
          <w:highlight w:val="none"/>
          <w:lang w:val="en-US" w:eastAsia="zh-CN"/>
        </w:rPr>
        <w:t>/单位负责人</w:t>
      </w:r>
      <w:r>
        <w:rPr>
          <w:rFonts w:hint="eastAsia"/>
          <w:color w:val="auto"/>
          <w:highlight w:val="none"/>
          <w:lang w:eastAsia="zh-CN"/>
        </w:rPr>
        <w:t>和被授权人身份证正反面复印件；②法定代表人</w:t>
      </w:r>
      <w:r>
        <w:rPr>
          <w:rFonts w:hint="eastAsia"/>
          <w:color w:val="auto"/>
          <w:highlight w:val="none"/>
          <w:lang w:val="en-US" w:eastAsia="zh-CN"/>
        </w:rPr>
        <w:t>/单位负责人亲自</w:t>
      </w:r>
      <w:r>
        <w:rPr>
          <w:rFonts w:hint="eastAsia"/>
          <w:color w:val="auto"/>
          <w:highlight w:val="none"/>
          <w:lang w:eastAsia="zh-CN"/>
        </w:rPr>
        <w:t>参与</w:t>
      </w:r>
      <w:r>
        <w:rPr>
          <w:rFonts w:hint="eastAsia"/>
          <w:color w:val="auto"/>
          <w:highlight w:val="none"/>
          <w:lang w:val="en-US" w:eastAsia="zh-CN"/>
        </w:rPr>
        <w:t>投标</w:t>
      </w:r>
      <w:r>
        <w:rPr>
          <w:rFonts w:hint="eastAsia"/>
          <w:color w:val="auto"/>
          <w:highlight w:val="none"/>
          <w:lang w:eastAsia="zh-CN"/>
        </w:rPr>
        <w:t>时不需要提供。</w:t>
      </w:r>
    </w:p>
    <w:p>
      <w:pPr>
        <w:pStyle w:val="37"/>
        <w:numPr>
          <w:ilvl w:val="1"/>
          <w:numId w:val="27"/>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49"/>
        <w:bidi w:val="0"/>
        <w:rPr>
          <w:rFonts w:hint="eastAsia"/>
          <w:color w:val="auto"/>
          <w:highlight w:val="none"/>
          <w:lang w:val="en-US" w:eastAsia="zh-CN"/>
        </w:rPr>
      </w:pPr>
      <w:r>
        <w:rPr>
          <w:rFonts w:hint="eastAsia"/>
          <w:color w:val="auto"/>
          <w:highlight w:val="none"/>
          <w:lang w:val="en-US" w:eastAsia="zh-CN"/>
        </w:rPr>
        <w:t>注：①</w:t>
      </w:r>
      <w:r>
        <w:rPr>
          <w:rFonts w:hint="eastAsia"/>
          <w:color w:val="auto"/>
          <w:highlight w:val="none"/>
          <w:lang w:eastAsia="zh-CN"/>
        </w:rPr>
        <w:t>附</w:t>
      </w:r>
      <w:r>
        <w:rPr>
          <w:rFonts w:hint="eastAsia"/>
          <w:color w:val="auto"/>
          <w:highlight w:val="none"/>
          <w:lang w:val="en-US" w:eastAsia="zh-CN"/>
        </w:rPr>
        <w:t>法定代表人/单位负责人身份证正反面复印件；②法定代表人/单位负责人亲自参加投标时提供本证明书。</w:t>
      </w:r>
    </w:p>
    <w:p>
      <w:pPr>
        <w:pStyle w:val="37"/>
        <w:numPr>
          <w:ilvl w:val="1"/>
          <w:numId w:val="27"/>
        </w:numPr>
        <w:bidi w:val="0"/>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29"/>
        <w:bidi w:val="0"/>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37"/>
        <w:numPr>
          <w:ilvl w:val="1"/>
          <w:numId w:val="27"/>
        </w:numPr>
        <w:bidi w:val="0"/>
        <w:rPr>
          <w:rFonts w:hint="eastAsia"/>
          <w:b/>
          <w:bCs/>
          <w:color w:val="auto"/>
          <w:highlight w:val="none"/>
        </w:rPr>
      </w:pPr>
      <w:r>
        <w:rPr>
          <w:rFonts w:hint="eastAsia"/>
          <w:b/>
          <w:bCs/>
          <w:color w:val="auto"/>
          <w:highlight w:val="none"/>
        </w:rPr>
        <w:t>根据采购项目的特殊要求，规定供应商的特定条件</w:t>
      </w:r>
      <w:r>
        <w:rPr>
          <w:rFonts w:hint="eastAsia"/>
          <w:b/>
          <w:bCs/>
          <w:color w:val="auto"/>
          <w:highlight w:val="none"/>
          <w:lang w:val="en-US" w:eastAsia="zh-CN"/>
        </w:rPr>
        <w:t>的证明材料；</w:t>
      </w:r>
    </w:p>
    <w:p>
      <w:pPr>
        <w:pStyle w:val="29"/>
        <w:bidi w:val="0"/>
        <w:rPr>
          <w:rFonts w:hint="eastAsia"/>
          <w:color w:val="auto"/>
          <w:highlight w:val="none"/>
          <w:lang w:val="en-US" w:eastAsia="zh-CN"/>
        </w:rPr>
      </w:pPr>
      <w:r>
        <w:rPr>
          <w:rFonts w:hint="eastAsia"/>
          <w:color w:val="auto"/>
          <w:highlight w:val="none"/>
          <w:lang w:val="en-US" w:eastAsia="zh-CN"/>
        </w:rPr>
        <w:t>1.提供国家卫生部门颁发的《医疗机构执业许可证》复印件(投标人为军队医院的应提供《军队单位对外有偿服务许可证》复印件)；提供有效的《放射诊疗许可证》或者《辐射安全许可证》复印件；</w:t>
      </w:r>
    </w:p>
    <w:p>
      <w:pPr>
        <w:pStyle w:val="29"/>
        <w:bidi w:val="0"/>
        <w:rPr>
          <w:rFonts w:hint="eastAsia"/>
          <w:b w:val="0"/>
          <w:bCs/>
          <w:color w:val="auto"/>
          <w:highlight w:val="none"/>
          <w:lang w:val="en-US" w:eastAsia="zh-CN"/>
        </w:rPr>
      </w:pPr>
      <w:r>
        <w:rPr>
          <w:rFonts w:hint="eastAsia"/>
          <w:b w:val="0"/>
          <w:bCs/>
          <w:color w:val="auto"/>
          <w:highlight w:val="none"/>
          <w:lang w:val="en-US" w:eastAsia="zh-CN"/>
        </w:rPr>
        <w:t>2.提供未与其他投标供应商组成联合体参与本项目投标的承诺函。</w:t>
      </w:r>
    </w:p>
    <w:p>
      <w:pPr>
        <w:pStyle w:val="29"/>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格式自拟，或参照《符合&lt;中华人民共和国政府采购法&gt;第二十二条规定的条件的承诺及声明函》的格式提供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p>
    <w:p>
      <w:pPr>
        <w:pStyle w:val="49"/>
        <w:bidi w:val="0"/>
        <w:rPr>
          <w:color w:val="auto"/>
          <w:highlight w:val="none"/>
        </w:rPr>
      </w:pPr>
      <w:r>
        <w:rPr>
          <w:rFonts w:hint="eastAsia"/>
          <w:color w:val="auto"/>
          <w:highlight w:val="none"/>
          <w:lang w:val="en-US" w:eastAsia="zh-CN"/>
        </w:rPr>
        <w:t>备</w:t>
      </w:r>
      <w:r>
        <w:rPr>
          <w:rFonts w:hint="eastAsia"/>
          <w:color w:val="auto"/>
          <w:highlight w:val="none"/>
        </w:rPr>
        <w:t>注：①以上承诺及声明函可参照第三章投标文件格式中相关格式或自拟格式填写均有效。</w:t>
      </w:r>
    </w:p>
    <w:p>
      <w:pPr>
        <w:pStyle w:val="49"/>
        <w:bidi w:val="0"/>
        <w:rPr>
          <w:rFonts w:hint="eastAsia"/>
          <w:color w:val="auto"/>
          <w:highlight w:val="none"/>
        </w:rPr>
      </w:pPr>
      <w:r>
        <w:rPr>
          <w:rFonts w:hint="eastAsia"/>
          <w:color w:val="auto"/>
          <w:highlight w:val="none"/>
        </w:rPr>
        <w:t>②以上要求提供的相关证明材料须加盖投标人公章</w:t>
      </w:r>
      <w:r>
        <w:rPr>
          <w:rFonts w:hint="eastAsia"/>
          <w:color w:val="auto"/>
          <w:highlight w:val="none"/>
          <w:lang w:eastAsia="zh-CN"/>
        </w:rPr>
        <w:t>，</w:t>
      </w:r>
      <w:r>
        <w:rPr>
          <w:rFonts w:hint="eastAsia"/>
          <w:color w:val="auto"/>
          <w:highlight w:val="none"/>
          <w:lang w:val="en-US" w:eastAsia="zh-CN"/>
        </w:rPr>
        <w:t>否则</w:t>
      </w:r>
      <w:r>
        <w:rPr>
          <w:rFonts w:hint="eastAsia"/>
          <w:color w:val="auto"/>
          <w:highlight w:val="none"/>
        </w:rPr>
        <w:t>其资格审查作未通过处理。</w:t>
      </w:r>
    </w:p>
    <w:p>
      <w:pPr>
        <w:pStyle w:val="49"/>
        <w:bidi w:val="0"/>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49"/>
        <w:bidi w:val="0"/>
        <w:rPr>
          <w:color w:val="auto"/>
          <w:highlight w:val="none"/>
        </w:rPr>
      </w:pPr>
      <w:r>
        <w:rPr>
          <w:rFonts w:hint="eastAsia"/>
          <w:color w:val="auto"/>
          <w:highlight w:val="none"/>
        </w:rPr>
        <w:t>④投标人应对其所提供的资格证明材料来源的合法性、真实性承担法律责任。</w:t>
      </w:r>
    </w:p>
    <w:p>
      <w:pPr>
        <w:pStyle w:val="49"/>
        <w:bidi w:val="0"/>
        <w:rPr>
          <w:color w:val="auto"/>
          <w:highlight w:val="none"/>
        </w:rPr>
      </w:pPr>
      <w:r>
        <w:rPr>
          <w:rFonts w:hint="eastAsia"/>
          <w:color w:val="auto"/>
          <w:highlight w:val="none"/>
          <w:lang w:val="en-US" w:eastAsia="zh-CN"/>
        </w:rPr>
        <w:t>⑤</w:t>
      </w:r>
      <w:r>
        <w:rPr>
          <w:rFonts w:hint="eastAsia"/>
          <w:color w:val="auto"/>
          <w:highlight w:val="none"/>
        </w:rPr>
        <w:t>以上要求提供的相关证明材料应当结合采购项目具体情况和投标人的组织机构性质确定，不得一概而论。</w:t>
      </w:r>
    </w:p>
    <w:p>
      <w:pPr>
        <w:pStyle w:val="24"/>
        <w:numPr>
          <w:ilvl w:val="1"/>
          <w:numId w:val="12"/>
        </w:numPr>
        <w:bidi w:val="0"/>
        <w:rPr>
          <w:rFonts w:hint="eastAsia"/>
          <w:color w:val="auto"/>
          <w:highlight w:val="none"/>
          <w:lang w:eastAsia="zh-CN"/>
        </w:rPr>
      </w:pPr>
      <w:bookmarkStart w:id="1007" w:name="_Toc25801"/>
      <w:bookmarkStart w:id="1008" w:name="_Toc14213"/>
      <w:r>
        <w:rPr>
          <w:rFonts w:hint="eastAsia"/>
          <w:color w:val="auto"/>
          <w:highlight w:val="none"/>
          <w:lang w:eastAsia="zh-CN"/>
        </w:rPr>
        <w:t>审查程序</w:t>
      </w:r>
      <w:bookmarkEnd w:id="1003"/>
      <w:bookmarkEnd w:id="1004"/>
      <w:bookmarkEnd w:id="1005"/>
      <w:bookmarkEnd w:id="1007"/>
      <w:bookmarkEnd w:id="1008"/>
    </w:p>
    <w:p>
      <w:pPr>
        <w:pStyle w:val="37"/>
        <w:numPr>
          <w:ilvl w:val="1"/>
          <w:numId w:val="28"/>
        </w:numPr>
        <w:bidi w:val="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37"/>
        <w:numPr>
          <w:ilvl w:val="1"/>
          <w:numId w:val="28"/>
        </w:numPr>
        <w:bidi w:val="0"/>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37"/>
        <w:numPr>
          <w:ilvl w:val="1"/>
          <w:numId w:val="28"/>
        </w:numPr>
        <w:bidi w:val="0"/>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25"/>
        <w:numPr>
          <w:ilvl w:val="0"/>
          <w:numId w:val="12"/>
        </w:numPr>
        <w:bidi w:val="0"/>
        <w:rPr>
          <w:rFonts w:hint="eastAsia"/>
          <w:color w:val="auto"/>
          <w:highlight w:val="none"/>
        </w:rPr>
      </w:pPr>
      <w:r>
        <w:rPr>
          <w:rFonts w:hint="eastAsia"/>
          <w:color w:val="auto"/>
          <w:highlight w:val="none"/>
        </w:rPr>
        <w:br w:type="page"/>
      </w:r>
      <w:bookmarkEnd w:id="1006"/>
      <w:bookmarkStart w:id="1009" w:name="_Toc5955"/>
      <w:bookmarkStart w:id="1010" w:name="_Toc8898"/>
      <w:bookmarkStart w:id="1011" w:name="_Toc14530"/>
      <w:r>
        <w:rPr>
          <w:rFonts w:hint="eastAsia"/>
          <w:color w:val="auto"/>
          <w:highlight w:val="none"/>
        </w:rPr>
        <w:t>招标项目技术、服务、政府采购合同内容条款及其他商务要求</w:t>
      </w:r>
      <w:bookmarkEnd w:id="1009"/>
      <w:bookmarkEnd w:id="1010"/>
      <w:bookmarkEnd w:id="1011"/>
    </w:p>
    <w:p>
      <w:pPr>
        <w:pStyle w:val="24"/>
        <w:bidi w:val="0"/>
        <w:rPr>
          <w:rFonts w:hint="eastAsia"/>
          <w:color w:val="auto"/>
          <w:highlight w:val="none"/>
        </w:rPr>
      </w:pPr>
      <w:bookmarkStart w:id="1012" w:name="_Toc23813"/>
      <w:bookmarkStart w:id="1013" w:name="_Toc1684"/>
      <w:bookmarkStart w:id="1014" w:name="_Toc27469"/>
      <w:bookmarkStart w:id="1015" w:name="_Toc28932"/>
      <w:bookmarkStart w:id="1016" w:name="_Toc309897566"/>
      <w:bookmarkStart w:id="1017" w:name="_Toc1839"/>
      <w:bookmarkStart w:id="1018" w:name="_Toc327196343"/>
      <w:bookmarkStart w:id="1019" w:name="_Toc308188201"/>
      <w:bookmarkStart w:id="1020" w:name="_Toc319439948"/>
      <w:bookmarkStart w:id="1021" w:name="_Toc12025"/>
      <w:bookmarkStart w:id="1022" w:name="_Toc1541"/>
      <w:bookmarkStart w:id="1023" w:name="_Toc319440192"/>
      <w:bookmarkStart w:id="1024" w:name="_Toc32159"/>
      <w:bookmarkStart w:id="1025" w:name="_Toc307564899"/>
      <w:bookmarkStart w:id="1026" w:name="_Toc307501157"/>
      <w:bookmarkStart w:id="1027" w:name="_Toc23360"/>
      <w:bookmarkStart w:id="1028" w:name="_Toc29864"/>
      <w:bookmarkStart w:id="1029" w:name="_Toc308084648"/>
      <w:bookmarkStart w:id="1030" w:name="_Toc217446060"/>
      <w:bookmarkStart w:id="1031" w:name="_Toc217446099"/>
      <w:r>
        <w:rPr>
          <w:rFonts w:hint="eastAsia"/>
          <w:color w:val="auto"/>
          <w:highlight w:val="none"/>
          <w:lang w:val="en-US" w:eastAsia="zh-CN"/>
        </w:rPr>
        <w:t>项目概况</w:t>
      </w:r>
      <w:bookmarkEnd w:id="1012"/>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为进一步做好</w:t>
      </w:r>
      <w:r>
        <w:rPr>
          <w:rFonts w:ascii="宋体" w:hAnsi="宋体" w:eastAsia="宋体" w:cs="宋体"/>
          <w:color w:val="auto"/>
          <w:highlight w:val="none"/>
        </w:rPr>
        <w:t>202</w:t>
      </w:r>
      <w:r>
        <w:rPr>
          <w:rFonts w:hint="eastAsia" w:ascii="宋体" w:hAnsi="宋体" w:eastAsia="宋体" w:cs="宋体"/>
          <w:color w:val="auto"/>
          <w:highlight w:val="none"/>
          <w:lang w:val="en-US" w:eastAsia="zh-CN"/>
        </w:rPr>
        <w:t>2</w:t>
      </w:r>
      <w:r>
        <w:rPr>
          <w:rFonts w:ascii="宋体" w:hAnsi="宋体" w:eastAsia="宋体" w:cs="宋体"/>
          <w:color w:val="auto"/>
          <w:highlight w:val="none"/>
        </w:rPr>
        <w:t>年教职工体检工作，深入调研教师体检需求，优化组织方式，规范确定体检机构，不断提高体检服务质量，增强教师幸福感、获得感。根据工会的统一部署，总结历年体检工作的经验，结合</w:t>
      </w:r>
      <w:r>
        <w:rPr>
          <w:rFonts w:hint="eastAsia" w:cs="宋体"/>
          <w:color w:val="auto"/>
          <w:highlight w:val="none"/>
          <w:lang w:val="en-US" w:eastAsia="zh-CN"/>
        </w:rPr>
        <w:t>采购人</w:t>
      </w:r>
      <w:r>
        <w:rPr>
          <w:rFonts w:ascii="宋体" w:hAnsi="宋体" w:eastAsia="宋体" w:cs="宋体"/>
          <w:color w:val="auto"/>
          <w:highlight w:val="none"/>
        </w:rPr>
        <w:t>教职工人员分布、年龄段等实际</w:t>
      </w:r>
      <w:r>
        <w:rPr>
          <w:rFonts w:hint="eastAsia" w:ascii="宋体" w:hAnsi="宋体" w:eastAsia="宋体" w:cs="宋体"/>
          <w:color w:val="auto"/>
          <w:highlight w:val="none"/>
          <w:lang w:val="en-US" w:eastAsia="zh-CN"/>
        </w:rPr>
        <w:t>开展本次采购活动</w:t>
      </w:r>
      <w:r>
        <w:rPr>
          <w:rFonts w:hint="eastAsia" w:ascii="宋体" w:hAnsi="宋体" w:eastAsia="宋体" w:cs="宋体"/>
          <w:color w:val="auto"/>
          <w:highlight w:val="none"/>
        </w:rPr>
        <w:t>。</w:t>
      </w:r>
    </w:p>
    <w:p>
      <w:pPr>
        <w:pStyle w:val="24"/>
        <w:bidi w:val="0"/>
        <w:rPr>
          <w:rFonts w:hint="eastAsia" w:ascii="宋体" w:hAnsi="宋体" w:eastAsia="宋体" w:cs="宋体"/>
          <w:color w:val="auto"/>
          <w:highlight w:val="none"/>
        </w:rPr>
      </w:pPr>
      <w:bookmarkStart w:id="1032" w:name="_Toc21862"/>
      <w:r>
        <w:rPr>
          <w:rFonts w:hint="eastAsia" w:ascii="宋体" w:hAnsi="宋体" w:eastAsia="宋体" w:cs="宋体"/>
          <w:color w:val="auto"/>
          <w:highlight w:val="none"/>
          <w:lang w:val="en-US" w:eastAsia="zh-CN"/>
        </w:rPr>
        <w:t>体检价格测算表</w:t>
      </w:r>
      <w:bookmarkEnd w:id="1032"/>
    </w:p>
    <w:tbl>
      <w:tblPr>
        <w:tblStyle w:val="19"/>
        <w:tblW w:w="8744" w:type="dxa"/>
        <w:jc w:val="center"/>
        <w:tblLayout w:type="fixed"/>
        <w:tblCellMar>
          <w:top w:w="0" w:type="dxa"/>
          <w:left w:w="108" w:type="dxa"/>
          <w:bottom w:w="0" w:type="dxa"/>
          <w:right w:w="108" w:type="dxa"/>
        </w:tblCellMar>
      </w:tblPr>
      <w:tblGrid>
        <w:gridCol w:w="3061"/>
        <w:gridCol w:w="1743"/>
        <w:gridCol w:w="2444"/>
        <w:gridCol w:w="1496"/>
      </w:tblGrid>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年龄段(类别)</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体检人次</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rPr>
            </w:pPr>
            <w:r>
              <w:rPr>
                <w:rFonts w:hint="eastAsia" w:cs="宋体"/>
                <w:i w:val="0"/>
                <w:iCs w:val="0"/>
                <w:color w:val="auto"/>
                <w:kern w:val="0"/>
                <w:sz w:val="21"/>
                <w:szCs w:val="21"/>
                <w:highlight w:val="none"/>
                <w:u w:val="none"/>
                <w:lang w:val="en-US" w:eastAsia="zh-CN" w:bidi="ar"/>
              </w:rPr>
              <w:t>(预估)</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单价最高限价(元/人次)</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合计预算(元)</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40岁以下在职男</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985</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197000</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40岁以下在职</w:t>
            </w:r>
            <w:r>
              <w:rPr>
                <w:rFonts w:hint="eastAsia" w:ascii="宋体" w:hAnsi="宋体" w:eastAsia="宋体" w:cs="宋体"/>
                <w:color w:val="auto"/>
                <w:sz w:val="21"/>
                <w:szCs w:val="21"/>
                <w:highlight w:val="none"/>
                <w:lang w:val="en-US" w:eastAsia="zh-CN"/>
              </w:rPr>
              <w:t>已婚女</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260</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1350</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351000</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40岁以下在职</w:t>
            </w:r>
            <w:r>
              <w:rPr>
                <w:rFonts w:hint="eastAsia" w:ascii="宋体" w:hAnsi="宋体" w:eastAsia="宋体" w:cs="宋体"/>
                <w:color w:val="auto"/>
                <w:sz w:val="21"/>
                <w:szCs w:val="21"/>
                <w:highlight w:val="none"/>
                <w:lang w:val="en-US" w:eastAsia="zh-CN"/>
              </w:rPr>
              <w:t>未婚女</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1155</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51975</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在职男</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210</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1095</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229950</w:t>
            </w:r>
          </w:p>
        </w:tc>
      </w:tr>
      <w:tr>
        <w:tblPrEx>
          <w:tblCellMar>
            <w:top w:w="0" w:type="dxa"/>
            <w:left w:w="108" w:type="dxa"/>
            <w:bottom w:w="0" w:type="dxa"/>
            <w:right w:w="108" w:type="dxa"/>
          </w:tblCellMar>
        </w:tblPrEx>
        <w:trPr>
          <w:trHeight w:val="90"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w:t>
            </w:r>
            <w:r>
              <w:rPr>
                <w:rFonts w:hint="eastAsia" w:ascii="宋体" w:hAnsi="宋体" w:eastAsia="宋体" w:cs="宋体"/>
                <w:color w:val="auto"/>
                <w:sz w:val="21"/>
                <w:szCs w:val="21"/>
                <w:highlight w:val="none"/>
                <w:lang w:val="en-US" w:eastAsia="zh-CN"/>
              </w:rPr>
              <w:t>已婚女</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172</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1507</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259204</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eastAsia="zh-CN"/>
              </w:rPr>
              <w:t>40岁及以上</w:t>
            </w:r>
            <w:r>
              <w:rPr>
                <w:rFonts w:hint="eastAsia" w:ascii="宋体" w:hAnsi="宋体" w:eastAsia="宋体" w:cs="宋体"/>
                <w:color w:val="auto"/>
                <w:sz w:val="21"/>
                <w:szCs w:val="21"/>
                <w:highlight w:val="none"/>
              </w:rPr>
              <w:t>在职</w:t>
            </w:r>
            <w:r>
              <w:rPr>
                <w:rFonts w:hint="eastAsia" w:ascii="宋体" w:hAnsi="宋体" w:eastAsia="宋体" w:cs="宋体"/>
                <w:color w:val="auto"/>
                <w:sz w:val="21"/>
                <w:szCs w:val="21"/>
                <w:highlight w:val="none"/>
                <w:lang w:val="en-US" w:eastAsia="zh-CN"/>
              </w:rPr>
              <w:t>未婚女</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1312</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10496</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退休职工男</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225</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1095</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246375</w:t>
            </w:r>
          </w:p>
        </w:tc>
      </w:tr>
      <w:tr>
        <w:tblPrEx>
          <w:tblCellMar>
            <w:top w:w="0" w:type="dxa"/>
            <w:left w:w="108" w:type="dxa"/>
            <w:bottom w:w="0" w:type="dxa"/>
            <w:right w:w="108" w:type="dxa"/>
          </w:tblCellMar>
        </w:tblPrEx>
        <w:trPr>
          <w:trHeight w:val="23" w:hRule="atLeast"/>
          <w:jc w:val="center"/>
        </w:trPr>
        <w:tc>
          <w:tcPr>
            <w:tcW w:w="3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6"/>
              <w:bidi w:val="0"/>
              <w:ind w:firstLine="0" w:firstLineChars="0"/>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t>退休职工</w:t>
            </w:r>
            <w:r>
              <w:rPr>
                <w:rFonts w:hint="eastAsia" w:ascii="宋体" w:hAnsi="宋体" w:eastAsia="宋体" w:cs="宋体"/>
                <w:color w:val="auto"/>
                <w:sz w:val="21"/>
                <w:szCs w:val="21"/>
                <w:highlight w:val="none"/>
                <w:lang w:val="en-US" w:eastAsia="zh-CN"/>
              </w:rPr>
              <w:t>女</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2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1270</w:t>
            </w: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254000</w:t>
            </w:r>
          </w:p>
        </w:tc>
      </w:tr>
    </w:tbl>
    <w:p>
      <w:pPr>
        <w:pStyle w:val="24"/>
        <w:bidi w:val="0"/>
        <w:rPr>
          <w:rFonts w:hint="eastAsia"/>
          <w:color w:val="auto"/>
          <w:highlight w:val="none"/>
          <w:lang w:val="en-US" w:eastAsia="zh-CN"/>
        </w:rPr>
      </w:pPr>
      <w:bookmarkStart w:id="1033" w:name="_Toc11192"/>
      <w:bookmarkStart w:id="1034" w:name="_Toc2567_WPSOffice_Level2"/>
      <w:bookmarkStart w:id="1035" w:name="_Toc25039"/>
      <w:r>
        <w:rPr>
          <w:rFonts w:hint="eastAsia"/>
          <w:color w:val="auto"/>
          <w:highlight w:val="none"/>
          <w:lang w:val="en-US" w:eastAsia="zh-CN"/>
        </w:rPr>
        <w:t>服务内容及要求</w:t>
      </w:r>
      <w:bookmarkEnd w:id="1033"/>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2" w:firstLineChars="200"/>
        <w:textAlignment w:val="auto"/>
        <w:outlineLvl w:val="9"/>
        <w:rPr>
          <w:rFonts w:hint="eastAsia"/>
          <w:b/>
          <w:bCs/>
          <w:color w:val="auto"/>
          <w:highlight w:val="none"/>
          <w:lang w:val="en-US" w:eastAsia="zh-CN"/>
        </w:rPr>
      </w:pPr>
      <w:r>
        <w:rPr>
          <w:rFonts w:hint="eastAsia"/>
          <w:b/>
          <w:bCs/>
          <w:color w:val="auto"/>
          <w:highlight w:val="none"/>
          <w:lang w:val="en-US" w:eastAsia="zh-CN"/>
        </w:rPr>
        <w:t>★体检内容</w:t>
      </w:r>
    </w:p>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bookmarkStart w:id="1036" w:name="_Toc4294"/>
      <w:r>
        <w:rPr>
          <w:rFonts w:hint="eastAsia" w:ascii="宋体" w:hAnsi="宋体" w:eastAsia="宋体" w:cstheme="minorBidi"/>
          <w:b/>
          <w:snapToGrid w:val="0"/>
          <w:color w:val="auto"/>
          <w:kern w:val="2"/>
          <w:sz w:val="24"/>
          <w:szCs w:val="24"/>
          <w:highlight w:val="none"/>
          <w:lang w:val="en-US" w:eastAsia="zh-CN" w:bidi="ar-SA"/>
        </w:rPr>
        <w:t>1.40岁以下在职教职工体检内容</w:t>
      </w:r>
      <w:bookmarkEnd w:id="1036"/>
    </w:p>
    <w:bookmarkEnd w:id="1034"/>
    <w:bookmarkEnd w:id="1035"/>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4"/>
        <w:gridCol w:w="1637"/>
        <w:gridCol w:w="4908"/>
        <w:gridCol w:w="616"/>
        <w:gridCol w:w="790"/>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blHeader/>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bookmarkStart w:id="1037" w:name="_Toc15303"/>
            <w:bookmarkStart w:id="1038" w:name="_Toc12968"/>
            <w:r>
              <w:rPr>
                <w:rFonts w:hint="eastAsia" w:ascii="宋体" w:hAnsi="宋体" w:eastAsia="宋体" w:cs="宋体"/>
                <w:b/>
                <w:color w:val="auto"/>
                <w:kern w:val="0"/>
                <w:sz w:val="21"/>
                <w:szCs w:val="21"/>
                <w:highlight w:val="none"/>
                <w:lang w:bidi="ar"/>
              </w:rPr>
              <w:t>体检项目</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明  细</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女未婚</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女已婚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血液检查</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血常规</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通过检测血液细胞的计数及不同种类细胞、成分的分类来反映身体状况，可直接或间接表明机体器官功能变化及疾病发生发展，有助于疾病的诊断治疗如：贫血、感染、白血病等等。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肝功能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十一项</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初步了解肝脏功能状况，是否有肝功能减退、异常等，全面了解肝细胞功能状态，判断各种肝脏疾病的程度。</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血脂四项</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甘油三脂、胆固醇、低密度脂蛋白、高密度脂蛋白</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测定血清中血脂含量，它们的增高或降低与动脉粥样硬化的形成有很大的关系。用于评价受检者的脂肪代谢水平，血脂代谢紊乱评价、动脉粥样硬化性疾病危险性预测和营养学评价。检查是否有高脂血症及冠心病、动脉硬化风险</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肾功八项</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尿素、肌酐、血尿酸、血钙、葡萄糖、胱抑素C</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评估肾脏功能，筛查肾脏疾病</w:t>
            </w:r>
            <w:r>
              <w:rPr>
                <w:rFonts w:hint="eastAsia" w:ascii="宋体" w:hAnsi="宋体" w:eastAsia="宋体" w:cs="宋体"/>
                <w:color w:val="auto"/>
                <w:kern w:val="0"/>
                <w:sz w:val="21"/>
                <w:szCs w:val="21"/>
                <w:highlight w:val="none"/>
                <w:lang w:eastAsia="zh-CN" w:bidi="ar"/>
              </w:rPr>
              <w:t>)</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肿瘤标志物</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癌胚抗原CEA</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系广谱性肿瘤标志物，对大肠癌、胰腺癌的筛查、疗效观察和预后评估有重要的临床意义。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甲胎蛋白AFP</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对原发性肝癌的诊断、疗效观察和预后评估有重要的临床意义。在卵巢、胃、胰腺癌、睾丸癌等肿瘤及肝炎、肝硬化等疾病也有异常发现。</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糖类抗原724</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CA724</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主要用于辅助诊断胃肠道和卵巢肿瘤的标志物；与CA125联合检测，可提高卵巢癌的检查率；与CEA联合检测，可以提高判断胃癌的敏感性和特异性。</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糖类抗原125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增高见于妇科及消化道恶性肿瘤如宫颈癌、乳腺癌、胰腺癌、肝癌、胃癌及肺癌等，也可见于肝硬化、肾衰、孕妇、良性卵巢瘤等。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总前列腺特异性抗原PSA</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用于筛查男性前列腺肿瘤。PSA对男性前列腺癌的诊断、疗效观察、评估预后有重要临床意义。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一般体格检查</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一般检查</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检查身高、体重、血压、腰围、臀围，评估心脑血管疾病危险因素，辅助判断危险程度。健康评估证据和健康计划依据</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直肠指检</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通过指检筛查痔疮、肛裂及直肠下段病变</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内科</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病史采集及体格检查</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心肺肝脾肾</w:t>
            </w:r>
            <w:r>
              <w:rPr>
                <w:rFonts w:hint="eastAsia" w:ascii="宋体" w:hAnsi="宋体" w:eastAsia="宋体" w:cs="宋体"/>
                <w:color w:val="auto"/>
                <w:kern w:val="0"/>
                <w:sz w:val="21"/>
                <w:szCs w:val="21"/>
                <w:highlight w:val="none"/>
                <w:lang w:eastAsia="zh-CN" w:bidi="ar"/>
              </w:rPr>
              <w:t>)</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眼科专项检查</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Style w:val="74"/>
                <w:rFonts w:hint="eastAsia" w:ascii="宋体" w:hAnsi="宋体" w:eastAsia="宋体" w:cs="宋体"/>
                <w:color w:val="auto"/>
                <w:sz w:val="21"/>
                <w:szCs w:val="21"/>
                <w:highlight w:val="none"/>
                <w:lang w:bidi="ar"/>
              </w:rPr>
              <w:t>裂隙灯检查、</w:t>
            </w:r>
            <w:r>
              <w:rPr>
                <w:rFonts w:hint="eastAsia" w:ascii="宋体" w:hAnsi="宋体" w:eastAsia="宋体" w:cs="宋体"/>
                <w:color w:val="auto"/>
                <w:kern w:val="0"/>
                <w:sz w:val="21"/>
                <w:szCs w:val="21"/>
                <w:highlight w:val="none"/>
                <w:lang w:bidi="ar"/>
              </w:rPr>
              <w:t>眼压</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青光眼</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等眼科专项检查</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耳鼻喉检查</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电耳镜、间接喉镜、嗅觉功能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检查外耳道、鼓膜、听力、鼻腔、鼻窦、咽喉</w:t>
            </w:r>
            <w:r>
              <w:rPr>
                <w:rFonts w:hint="eastAsia" w:ascii="宋体" w:hAnsi="宋体" w:eastAsia="宋体" w:cs="宋体"/>
                <w:color w:val="auto"/>
                <w:kern w:val="0"/>
                <w:sz w:val="21"/>
                <w:szCs w:val="21"/>
                <w:highlight w:val="none"/>
                <w:lang w:eastAsia="zh-CN" w:bidi="ar"/>
              </w:rPr>
              <w:t>)</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尿液检查</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 xml:space="preserve">尿常规                    </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包含尿沉渣</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检查泌尿系统疾病，如泌尿系统感染、肿瘤、结石及了解肾功能，还可用于协助检查其他系统疾病，如糖尿病、高血压、肝炎等。尿液的组成和性状可以反映机体的代谢状况，因此尿液检测对肾脏及泌尿系统疾病的诊断具有重要的意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心电图</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12导联心电图</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通过在体表特定部位同步记录和分析心脏每一个心动周期所产生电活动变化的曲线图形，为心脏疾病诊断、疗效评价、预后评估提供重要的依据。</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彩色多普勒超声检查</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甲状腺及颈部淋巴结彩超</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通过彩色超声仪器更清晰地观察甲状腺肿物、结节、肿大、炎症；可发现甲状腺肿、甲状腺囊肿、甲状腺炎、甲状腺瘤、甲状腺癌等疾病。</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上腹部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肝脏、胆囊、胰腺、脾脏、双肾</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了解各脏器有无形态学改变及占位性病变</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肿瘤、结石、炎症等</w:t>
            </w:r>
            <w:r>
              <w:rPr>
                <w:rFonts w:hint="eastAsia" w:ascii="宋体" w:hAnsi="宋体" w:eastAsia="宋体" w:cs="宋体"/>
                <w:color w:val="auto"/>
                <w:kern w:val="0"/>
                <w:sz w:val="21"/>
                <w:szCs w:val="21"/>
                <w:highlight w:val="none"/>
                <w:lang w:eastAsia="zh-CN" w:bidi="ar"/>
              </w:rPr>
              <w:t>)</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输尿管、膀胱、前列腺</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了解输尿管、膀胱、前列腺情况，判断有无形态学改变及占位性病变。</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输尿管、膀胱、子宫、附件</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了解输尿管、膀胱、子宫、附件情况，判断有无形态学改变及占位性病变。</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双侧乳腺及腋窝淋巴结</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通过彩色超声仪器检查乳腺，发现乳腺增生、肿物、结节、囊肿、腺瘤、乳腺癌等病变。</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妇科</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白带常规</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用于检查阴道内有无滴虫、念珠菌，同时还可确定阴道清洁度，是筛查阴道炎的有效手段。</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宫颈液基细胞学检测</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筛查宫颈早期病变较先进的检测方法，同时还能发现部分癌前病变，微生物感染如霉菌、滴虫、病毒、衣原体、人乳头瘤病毒等。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放射检查</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胸部CT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CT所具有的高密度分辨率以及断面成像，无重叠干扰等优点，对普通X线检查有一定诊断难度的纵隔病变、肺内微小病变及对胸内淋巴结增大的诊断有着特殊价值，特别对肺部肿瘤早期诊断有重要意义。</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00" w:type="pct"/>
            <w:gridSpan w:val="6"/>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kern w:val="0"/>
                <w:sz w:val="21"/>
                <w:szCs w:val="21"/>
                <w:highlight w:val="none"/>
                <w:lang w:bidi="ar"/>
              </w:rPr>
              <w:t>以下为选项包</w:t>
            </w:r>
            <w:r>
              <w:rPr>
                <w:rFonts w:hint="eastAsia" w:ascii="宋体" w:hAnsi="宋体" w:eastAsia="宋体" w:cs="宋体"/>
                <w:b/>
                <w:color w:val="auto"/>
                <w:kern w:val="0"/>
                <w:sz w:val="21"/>
                <w:szCs w:val="21"/>
                <w:highlight w:val="none"/>
                <w:lang w:eastAsia="zh-CN" w:bidi="ar"/>
              </w:rPr>
              <w:t>(</w:t>
            </w:r>
            <w:r>
              <w:rPr>
                <w:rFonts w:hint="eastAsia" w:ascii="宋体" w:hAnsi="宋体" w:eastAsia="宋体" w:cs="宋体"/>
                <w:b/>
                <w:color w:val="auto"/>
                <w:kern w:val="0"/>
                <w:sz w:val="21"/>
                <w:szCs w:val="21"/>
                <w:highlight w:val="none"/>
                <w:lang w:bidi="ar"/>
              </w:rPr>
              <w:t>三选一</w:t>
            </w:r>
            <w:r>
              <w:rPr>
                <w:rFonts w:hint="eastAsia" w:ascii="宋体" w:hAnsi="宋体" w:eastAsia="宋体" w:cs="宋体"/>
                <w:b/>
                <w:color w:val="auto"/>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选项包</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体检项目+明细</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女未婚</w:t>
            </w: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女已婚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包一</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经颅多普勒</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TCD</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无创检测脑血管供血情况，主要用于评价脑动脉狭窄、闭塞或痉挛的部位及程度。</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FT3、FT4、TSH</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三项</w:t>
            </w:r>
            <w:r>
              <w:rPr>
                <w:rFonts w:hint="eastAsia" w:ascii="宋体" w:hAnsi="宋体" w:eastAsia="宋体" w:cs="宋体"/>
                <w:color w:val="auto"/>
                <w:kern w:val="0"/>
                <w:sz w:val="21"/>
                <w:szCs w:val="21"/>
                <w:highlight w:val="none"/>
                <w:lang w:eastAsia="zh-CN" w:bidi="ar"/>
              </w:rPr>
              <w:t>)</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了解甲状腺激素水平，提示有无甲亢、甲减、自身免疫性甲状腺疾病等疾病</w:t>
            </w:r>
          </w:p>
        </w:tc>
        <w:tc>
          <w:tcPr>
            <w:tcW w:w="315"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2"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包二</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碳13呼气试验</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评估有无幽门螺旋杆菌的感染</w:t>
            </w:r>
          </w:p>
        </w:tc>
        <w:tc>
          <w:tcPr>
            <w:tcW w:w="315"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2"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包三</w:t>
            </w:r>
          </w:p>
        </w:tc>
        <w:tc>
          <w:tcPr>
            <w:tcW w:w="83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心脏彩超</w:t>
            </w:r>
          </w:p>
        </w:tc>
        <w:tc>
          <w:tcPr>
            <w:tcW w:w="2510"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动态显示心腔内结构、心脏的搏动和血液流动，评估有无高血压性心脏病、冠心病、先天性心脏病等心脏结构功能改变，是诊断心脏疾病的有效检查手段</w:t>
            </w:r>
          </w:p>
        </w:tc>
        <w:tc>
          <w:tcPr>
            <w:tcW w:w="31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rPr>
                <w:rFonts w:hint="eastAsia" w:ascii="宋体" w:hAnsi="宋体" w:eastAsia="宋体" w:cs="宋体"/>
                <w:color w:val="auto"/>
                <w:sz w:val="21"/>
                <w:szCs w:val="21"/>
                <w:highlight w:val="none"/>
              </w:rPr>
            </w:pPr>
          </w:p>
        </w:tc>
        <w:tc>
          <w:tcPr>
            <w:tcW w:w="40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2"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bl>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r>
        <w:rPr>
          <w:rFonts w:hint="eastAsia" w:ascii="宋体" w:hAnsi="宋体" w:eastAsia="宋体" w:cstheme="minorBidi"/>
          <w:b/>
          <w:snapToGrid w:val="0"/>
          <w:color w:val="auto"/>
          <w:kern w:val="2"/>
          <w:sz w:val="24"/>
          <w:szCs w:val="24"/>
          <w:highlight w:val="none"/>
          <w:lang w:val="en-US" w:eastAsia="zh-CN" w:bidi="ar-SA"/>
        </w:rPr>
        <w:t>2.40岁(含40)以上在职教职工体检内容</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1"/>
        <w:gridCol w:w="1635"/>
        <w:gridCol w:w="4910"/>
        <w:gridCol w:w="635"/>
        <w:gridCol w:w="790"/>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体检项目</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明  细</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女未婚</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女已婚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血液检查</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血常规</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通过检测血液细胞的计数及不同种类细胞、成分的分类来反映身体状况，可直接或间接表明机体器官功能变化及疾病发生发展，有助于疾病的诊断治疗如：贫血、感染、白血病等等。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肝功能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十一项</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初步了解肝脏功能状况，是否有肝功能减退、异常等，全面了解肝细胞功能状态，判断各种肝脏疾病的程度。</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血脂四项</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甘油三脂、胆固醇、低密度脂蛋白、高密度脂蛋白</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测定血清中血脂含量，它们的增高或降低与动脉粥样硬化的形成有很大的关系。用于评价受检者的脂肪代谢水平，血脂代谢紊乱评价、动脉粥样硬化性疾病危险性预测和营养学评价。检查是否有高脂血症及冠心病、动脉硬化风险。</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肾功八项</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 xml:space="preserve">尿素、肌酐、血尿酸、血钙、葡萄糖、胱抑素C   </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评估肾脏功能，筛查肾脏疾病</w:t>
            </w:r>
            <w:r>
              <w:rPr>
                <w:rFonts w:hint="eastAsia" w:ascii="宋体" w:hAnsi="宋体" w:eastAsia="宋体" w:cs="宋体"/>
                <w:color w:val="auto"/>
                <w:kern w:val="0"/>
                <w:sz w:val="21"/>
                <w:szCs w:val="21"/>
                <w:highlight w:val="none"/>
                <w:lang w:eastAsia="zh-CN" w:bidi="ar"/>
              </w:rPr>
              <w:t>)</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 xml:space="preserve"> 同型半胱氨酸</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心血管疾病危险因素</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是心血管疾病发病的一个独立危险因子。高浓度同型半胱氨酸血症是动脉硬化的独立危险因素。可用于确定心脏病和中风的危险评估。同型半胱氨酸增高是体内叶酸和B12缺乏，其增高还可能导致孕妇流产、胎儿畸形等，可用于孕前检查。</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一般体格检查</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一般检查</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检查身高、体重、血压、腰围、臀围，评估心脑血管疾病危险因素，辅助判断危险程度。健康评估证据和健康计划依据</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直肠指检</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通过指检筛查痔疮、肛裂及直肠下段病变</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内科</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病史采集及体格检查</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心肺肝脾肾</w:t>
            </w:r>
            <w:r>
              <w:rPr>
                <w:rFonts w:hint="eastAsia" w:ascii="宋体" w:hAnsi="宋体" w:eastAsia="宋体" w:cs="宋体"/>
                <w:color w:val="auto"/>
                <w:kern w:val="0"/>
                <w:sz w:val="21"/>
                <w:szCs w:val="21"/>
                <w:highlight w:val="none"/>
                <w:lang w:eastAsia="zh-CN" w:bidi="ar"/>
              </w:rPr>
              <w:t>)</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眼科专项检查</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裂隙灯检查、</w:t>
            </w:r>
            <w:r>
              <w:rPr>
                <w:rStyle w:val="75"/>
                <w:rFonts w:hint="eastAsia" w:ascii="宋体" w:hAnsi="宋体" w:eastAsia="宋体" w:cs="宋体"/>
                <w:color w:val="auto"/>
                <w:sz w:val="21"/>
                <w:szCs w:val="21"/>
                <w:highlight w:val="none"/>
                <w:lang w:bidi="ar"/>
              </w:rPr>
              <w:t>眼压</w:t>
            </w:r>
            <w:r>
              <w:rPr>
                <w:rStyle w:val="75"/>
                <w:rFonts w:hint="eastAsia" w:ascii="宋体" w:hAnsi="宋体" w:eastAsia="宋体" w:cs="宋体"/>
                <w:color w:val="auto"/>
                <w:sz w:val="21"/>
                <w:szCs w:val="21"/>
                <w:highlight w:val="none"/>
                <w:lang w:eastAsia="zh-CN" w:bidi="ar"/>
              </w:rPr>
              <w:t>(</w:t>
            </w:r>
            <w:r>
              <w:rPr>
                <w:rStyle w:val="75"/>
                <w:rFonts w:hint="eastAsia" w:ascii="宋体" w:hAnsi="宋体" w:eastAsia="宋体" w:cs="宋体"/>
                <w:color w:val="auto"/>
                <w:sz w:val="21"/>
                <w:szCs w:val="21"/>
                <w:highlight w:val="none"/>
                <w:lang w:bidi="ar"/>
              </w:rPr>
              <w:t>青光眼</w:t>
            </w:r>
            <w:r>
              <w:rPr>
                <w:rStyle w:val="75"/>
                <w:rFonts w:hint="eastAsia" w:ascii="宋体" w:hAnsi="宋体" w:eastAsia="宋体" w:cs="宋体"/>
                <w:color w:val="auto"/>
                <w:sz w:val="21"/>
                <w:szCs w:val="21"/>
                <w:highlight w:val="none"/>
                <w:lang w:eastAsia="zh-CN" w:bidi="ar"/>
              </w:rPr>
              <w:t>)</w:t>
            </w:r>
            <w:r>
              <w:rPr>
                <w:rStyle w:val="75"/>
                <w:rFonts w:hint="eastAsia" w:ascii="宋体" w:hAnsi="宋体" w:eastAsia="宋体" w:cs="宋体"/>
                <w:color w:val="auto"/>
                <w:sz w:val="21"/>
                <w:szCs w:val="21"/>
                <w:highlight w:val="none"/>
                <w:lang w:bidi="ar"/>
              </w:rPr>
              <w:t>等眼科专项检查</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耳鼻喉检查</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电耳镜、间接喉镜、嗅觉功能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检查外耳道、鼓膜、听力、鼻腔、鼻窦、咽喉</w:t>
            </w:r>
            <w:r>
              <w:rPr>
                <w:rFonts w:hint="eastAsia" w:ascii="宋体" w:hAnsi="宋体" w:eastAsia="宋体" w:cs="宋体"/>
                <w:color w:val="auto"/>
                <w:kern w:val="0"/>
                <w:sz w:val="21"/>
                <w:szCs w:val="21"/>
                <w:highlight w:val="none"/>
                <w:lang w:eastAsia="zh-CN" w:bidi="ar"/>
              </w:rPr>
              <w:t>)</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肿瘤标志物</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癌胚抗原CEA</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系广谱性肿瘤标志物，对大肠癌、胰腺癌的筛查、疗效观察和预后评估有重要的临床意义。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甲胎蛋白AFP</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对原发性肝癌的诊断、疗效观察和预后评估有重要的临床意义。在卵巢、胃、胰腺癌、睾丸癌等肿瘤及肝炎、肝硬化等疾病也有异常发现。</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糖类抗原724</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CA724</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主要用于辅助诊断胃肠道和卵巢肿瘤的标志物；与CA125联合检测，可提高卵巢癌的检查率；与CEA联合检测，可以提高判断胃癌的敏感性和特异性。</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血粘度</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了解血液粘稠度，对心脑血管病诊断有较大意义，尤其对血栓性疾病的诊断和预防可提供重要依据。</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糖类抗原153</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CA153(乳腺)</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对乳腺癌的诊断有重要临床意义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糖类抗原125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增高见于妇科及消化道恶性肿瘤如宫颈癌、乳腺癌、胰腺癌、肝癌、胃癌及肺癌等，也可见于肝硬化、肾衰、孕妇、良性卵巢瘤等。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总前列腺特异性抗原PSA</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用于筛查男性前列腺肿瘤。PSA对男性前列腺癌的诊断、疗效观察、评估预后有重要临床意义。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尿液检查</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尿常规</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包含尿沉渣</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检查泌尿系统疾病，如泌尿系统感染、肿瘤、结石及了解肾功能，还可用于协助检查其他系统疾病，如糖尿病、高血压、肝炎等。尿液的组成和性状可以反映机体的代谢状况，因此尿液检测对肾脏及泌尿系统疾病的诊断具有重要的意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心电图</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12导联心电图</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通过在体表特定部位同步记录和分析心脏每一个心动周期所产生电活动变化的曲线图形，为心脏疾病诊断、疗效评价、预后评估提供重要的依据。</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彩色多普勒超声检查</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甲状腺及颈部淋巴结彩超</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通过彩色超声仪器更清晰地观察甲状腺肿物、结节、肿大、炎症；可发现甲状腺肿、甲状腺囊肿、甲状腺炎、甲状腺瘤、甲状腺癌等疾病。</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上腹部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肝脏、胆囊、胰腺、脾脏、双肾</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了解各脏器有无形态学改变及占位性病变</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肿瘤、结石、炎症等</w:t>
            </w:r>
            <w:r>
              <w:rPr>
                <w:rFonts w:hint="eastAsia" w:ascii="宋体" w:hAnsi="宋体" w:eastAsia="宋体" w:cs="宋体"/>
                <w:color w:val="auto"/>
                <w:kern w:val="0"/>
                <w:sz w:val="21"/>
                <w:szCs w:val="21"/>
                <w:highlight w:val="none"/>
                <w:lang w:eastAsia="zh-CN" w:bidi="ar"/>
              </w:rPr>
              <w:t>)</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输尿管、膀胱、前列腺</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了解输尿管、膀胱、前列腺情况，判断有无形态学改变及占位性病变。</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输尿管、膀胱、子宫、附件</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了解输尿管、膀胱、子宫、附件情况，判断有无形态学改变及占位性病变。</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双侧乳腺及腋窝淋巴结</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通过彩色超声仪器检查乳腺，发现乳腺增生、肿物、结节、囊肿、腺瘤、乳腺癌等病变。</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妇科</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白带常规</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用于检查阴道内有无滴虫、念珠菌，同时还可确定阴道清洁度，是筛查阴道炎的有效手段。</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宫颈液基细胞学检测</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筛查宫颈早期病变较先进的检测方法，同时还能发现部分癌前病变，微生物感染如霉菌、滴虫、病毒、衣原体、人乳头瘤病毒等。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放射检查</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胸部CT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CT所具有的高密度分辨率以及断面成像，无重叠干扰等优点，对普通X线检查有一定诊断难度的纵隔病变、肺内微小病变及对胸内淋巴结增大的诊断有着特殊价值，特别对肺部肿瘤早期诊断有重要意义。</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00" w:type="pct"/>
            <w:gridSpan w:val="6"/>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kern w:val="0"/>
                <w:sz w:val="21"/>
                <w:szCs w:val="21"/>
                <w:highlight w:val="none"/>
                <w:lang w:bidi="ar"/>
              </w:rPr>
              <w:t>以下为选项包</w:t>
            </w:r>
            <w:r>
              <w:rPr>
                <w:rFonts w:hint="eastAsia" w:ascii="宋体" w:hAnsi="宋体" w:eastAsia="宋体" w:cs="宋体"/>
                <w:b/>
                <w:color w:val="auto"/>
                <w:kern w:val="0"/>
                <w:sz w:val="21"/>
                <w:szCs w:val="21"/>
                <w:highlight w:val="none"/>
                <w:lang w:eastAsia="zh-CN" w:bidi="ar"/>
              </w:rPr>
              <w:t>(</w:t>
            </w:r>
            <w:r>
              <w:rPr>
                <w:rFonts w:hint="eastAsia" w:ascii="宋体" w:hAnsi="宋体" w:eastAsia="宋体" w:cs="宋体"/>
                <w:b/>
                <w:color w:val="auto"/>
                <w:kern w:val="0"/>
                <w:sz w:val="21"/>
                <w:szCs w:val="21"/>
                <w:highlight w:val="none"/>
                <w:lang w:bidi="ar"/>
              </w:rPr>
              <w:t>三选一</w:t>
            </w:r>
            <w:r>
              <w:rPr>
                <w:rFonts w:hint="eastAsia" w:ascii="宋体" w:hAnsi="宋体" w:eastAsia="宋体" w:cs="宋体"/>
                <w:b/>
                <w:color w:val="auto"/>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选项包</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体检项目+明细</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女未婚</w:t>
            </w: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女已婚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包一</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经颅多普勒</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TCD</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无创检测脑血管供血情况，主要用于评价脑动脉狭窄、闭塞或痉挛的部位及程度。</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FT3、FT4、TSH</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三项</w:t>
            </w:r>
            <w:r>
              <w:rPr>
                <w:rFonts w:hint="eastAsia" w:ascii="宋体" w:hAnsi="宋体" w:eastAsia="宋体" w:cs="宋体"/>
                <w:color w:val="auto"/>
                <w:kern w:val="0"/>
                <w:sz w:val="21"/>
                <w:szCs w:val="21"/>
                <w:highlight w:val="none"/>
                <w:lang w:eastAsia="zh-CN" w:bidi="ar"/>
              </w:rPr>
              <w:t>)</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了解甲状腺激素水平，提示有无甲亢、甲减、自身免疫性甲状腺疾病等疾病</w:t>
            </w:r>
          </w:p>
        </w:tc>
        <w:tc>
          <w:tcPr>
            <w:tcW w:w="325"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78"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包二</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碳13呼气试验</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评估有无幽门螺旋杆菌的感染</w:t>
            </w:r>
          </w:p>
        </w:tc>
        <w:tc>
          <w:tcPr>
            <w:tcW w:w="325"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40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78"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4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包三</w:t>
            </w:r>
          </w:p>
        </w:tc>
        <w:tc>
          <w:tcPr>
            <w:tcW w:w="836"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心脏彩超</w:t>
            </w:r>
          </w:p>
        </w:tc>
        <w:tc>
          <w:tcPr>
            <w:tcW w:w="251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动态显示心腔内结构、心脏的搏动和血液流动，评估有无高血压性心脏病、冠心病、先天性心脏病等心脏结构功能改变，是诊断心脏疾病的有效检查手段</w:t>
            </w:r>
          </w:p>
        </w:tc>
        <w:tc>
          <w:tcPr>
            <w:tcW w:w="325"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rPr>
                <w:rFonts w:hint="eastAsia" w:ascii="宋体" w:hAnsi="宋体" w:eastAsia="宋体" w:cs="宋体"/>
                <w:color w:val="auto"/>
                <w:sz w:val="21"/>
                <w:szCs w:val="21"/>
                <w:highlight w:val="none"/>
              </w:rPr>
            </w:pPr>
          </w:p>
        </w:tc>
        <w:tc>
          <w:tcPr>
            <w:tcW w:w="40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rPr>
                <w:rFonts w:hint="eastAsia" w:ascii="宋体" w:hAnsi="宋体" w:eastAsia="宋体" w:cs="宋体"/>
                <w:color w:val="auto"/>
                <w:sz w:val="21"/>
                <w:szCs w:val="21"/>
                <w:highlight w:val="none"/>
              </w:rPr>
            </w:pPr>
          </w:p>
        </w:tc>
        <w:tc>
          <w:tcPr>
            <w:tcW w:w="378"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rPr>
                <w:rFonts w:hint="eastAsia" w:ascii="宋体" w:hAnsi="宋体" w:eastAsia="宋体" w:cs="宋体"/>
                <w:color w:val="auto"/>
                <w:sz w:val="21"/>
                <w:szCs w:val="21"/>
                <w:highlight w:val="none"/>
              </w:rPr>
            </w:pPr>
          </w:p>
        </w:tc>
      </w:tr>
    </w:tbl>
    <w:p>
      <w:pPr>
        <w:keepNext w:val="0"/>
        <w:keepLines w:val="0"/>
        <w:pageBreakBefore w:val="0"/>
        <w:widowControl w:val="0"/>
        <w:numPr>
          <w:ilvl w:val="0"/>
          <w:numId w:val="0"/>
        </w:numPr>
        <w:kinsoku/>
        <w:wordWrap w:val="0"/>
        <w:overflowPunct/>
        <w:topLinePunct/>
        <w:autoSpaceDE/>
        <w:autoSpaceDN/>
        <w:bidi w:val="0"/>
        <w:adjustRightInd w:val="0"/>
        <w:snapToGrid w:val="0"/>
        <w:spacing w:line="440" w:lineRule="exact"/>
        <w:ind w:leftChars="0"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r>
        <w:rPr>
          <w:rFonts w:hint="eastAsia" w:ascii="宋体" w:hAnsi="宋体" w:eastAsia="宋体" w:cstheme="minorBidi"/>
          <w:b/>
          <w:snapToGrid w:val="0"/>
          <w:color w:val="auto"/>
          <w:kern w:val="2"/>
          <w:sz w:val="24"/>
          <w:szCs w:val="24"/>
          <w:highlight w:val="none"/>
          <w:lang w:val="en-US" w:eastAsia="zh-CN" w:bidi="ar-SA"/>
        </w:rPr>
        <w:t>3.退休教职工体检内容</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5"/>
        <w:gridCol w:w="1683"/>
        <w:gridCol w:w="5537"/>
        <w:gridCol w:w="77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体检项目</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明  细</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血液检查</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血常规</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通过检测血液细胞的计数及不同种类细胞、成分的分类来反映身体状况，可直接或间接表明机体器官功能变化及疾病发生发展，有助于疾病的诊断治疗如：贫血、感染、白血病等等。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肝功能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十二项</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初步了解肝脏功能状况，是否有肝功能减退、异常等，全面了解肝细胞功能状态，判断各种肝脏疾病的程度。</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血脂四项</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甘油三脂、胆固醇、低密度脂蛋白、高密度脂蛋白</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测定血清中血脂含量，它们的增高或降低与动脉粥样硬化的形成有很大的关系。用于评价受检者的脂肪代谢水平，血脂代谢紊乱评价、动脉粥样硬化性疾病危险性预测和营养学评价。检查是否有高脂血症及冠心病、动脉硬化风险。</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肾功八项</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 xml:space="preserve">尿素、肌酐、血尿酸、血钙、葡萄糖、胱抑素C   </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评估肾脏功能，筛查肾脏疾病</w:t>
            </w:r>
            <w:r>
              <w:rPr>
                <w:rFonts w:hint="eastAsia" w:ascii="宋体" w:hAnsi="宋体" w:eastAsia="宋体" w:cs="宋体"/>
                <w:color w:val="auto"/>
                <w:kern w:val="0"/>
                <w:sz w:val="21"/>
                <w:szCs w:val="21"/>
                <w:highlight w:val="none"/>
                <w:lang w:eastAsia="zh-CN" w:bidi="ar"/>
              </w:rPr>
              <w:t>)</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 xml:space="preserve"> 同型半胱氨酸</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心血管疾病危险因素</w:t>
            </w:r>
            <w:r>
              <w:rPr>
                <w:rFonts w:hint="eastAsia" w:ascii="宋体" w:hAnsi="宋体" w:eastAsia="宋体" w:cs="宋体"/>
                <w:color w:val="auto"/>
                <w:kern w:val="0"/>
                <w:sz w:val="21"/>
                <w:szCs w:val="21"/>
                <w:highlight w:val="none"/>
                <w:lang w:eastAsia="zh-CN" w:bidi="ar"/>
              </w:rPr>
              <w:t>)</w:t>
            </w:r>
          </w:p>
        </w:tc>
        <w:tc>
          <w:tcPr>
            <w:tcW w:w="2832" w:type="pct"/>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是心血管疾病发病的一个独立危险因子。高浓度同型半胱氨酸血症是动脉硬化的独立危险因素。可用于确定心脏病和中风的危险评估。同型半胱氨酸增高是体内叶酸和B12缺乏，其增高还可能导致孕妇流产、胎儿畸形等，可用于孕前检查。</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血粘度检测</w:t>
            </w:r>
          </w:p>
        </w:tc>
        <w:tc>
          <w:tcPr>
            <w:tcW w:w="2832"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主要反映血液流动性、凝滞性和血液粘度的变化。适用于高血压、动脉硬化、脑中风、糖尿病及血脂异常等疾患的检查。</w:t>
            </w:r>
          </w:p>
        </w:tc>
        <w:tc>
          <w:tcPr>
            <w:tcW w:w="397"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一般体格检查</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一般检查</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检查身高、体重、血压、腰围、臀围，评估心脑血管疾病危险因素，辅助判断危险程度。健康评估证据和健康计划依据。</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直肠指检</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通过指检筛查痔疮、肛裂及直肠下段病变</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内科</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病史采集及体格检查</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心肺肝脾肾</w:t>
            </w:r>
            <w:r>
              <w:rPr>
                <w:rFonts w:hint="eastAsia" w:ascii="宋体" w:hAnsi="宋体" w:eastAsia="宋体" w:cs="宋体"/>
                <w:color w:val="auto"/>
                <w:kern w:val="0"/>
                <w:sz w:val="21"/>
                <w:szCs w:val="21"/>
                <w:highlight w:val="none"/>
                <w:lang w:eastAsia="zh-CN" w:bidi="ar"/>
              </w:rPr>
              <w:t>)</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眼科专项检查</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裂隙灯检查、眼压</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青光眼</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等眼科专项检查</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耳鼻喉检查</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电耳镜、间接喉镜、嗅觉功能</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检查外耳道、鼓膜、听力、鼻腔、鼻窦、咽喉</w:t>
            </w:r>
            <w:r>
              <w:rPr>
                <w:rFonts w:hint="eastAsia" w:ascii="宋体" w:hAnsi="宋体" w:eastAsia="宋体" w:cs="宋体"/>
                <w:color w:val="auto"/>
                <w:kern w:val="0"/>
                <w:sz w:val="21"/>
                <w:szCs w:val="21"/>
                <w:highlight w:val="none"/>
                <w:lang w:eastAsia="zh-CN" w:bidi="ar"/>
              </w:rPr>
              <w:t>)</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肿瘤标志物</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癌胚抗原CEA</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系广谱性肿瘤标志物，对大肠癌、胰腺癌的筛查、疗效观察和预后评估有重要的临床意义。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甲胎蛋白AFP</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对原发性肝癌的诊断、疗效观察和预后评估有重要的临床意义。在卵巢、胃、胰腺癌、睾丸癌等肿瘤及肝炎、肝硬化等疾病也有异常发现。</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糖类抗原125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CA125</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增高见于妇科及消化道恶性肿瘤如宫颈癌、乳腺癌、胰腺癌、肝癌、胃癌及肺癌等，也可见于肝硬化、肾衰、孕妇、良性卵巢瘤等。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总前列腺特异性抗原PSA</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用于筛查男性前列腺肿瘤。PSA对男性前列腺癌的诊断、疗效观察、评估预后有重要临床意义。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尿液检查</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尿常规</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包含尿沉渣</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用于检查泌尿系统疾病，如泌尿系统感染、肿瘤、结石及了解肾功能，还可用于协助检查其他系统疾病，如糖尿病、高血压、肝炎等。尿液的组成和性状可以反映机体的代谢状况，因此尿液检测对肾脏及泌尿系统疾病的诊断具有重要的意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心电图</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12导联心电图</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通过在体表特定部位同步记录和分析心脏每一个心动周期所产生电活动变化的曲线图形，为心脏疾病诊断、疗效评价、预后评估提供重要的依据。</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彩色多普勒超声检查</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甲状腺及颈部淋巴结彩超</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通过彩色超声仪器更清晰地观察甲状腺肿物、结节、肿大、炎症；可发现甲状腺肿、甲状腺囊肿、甲状腺炎、甲状腺瘤、甲状腺癌等疾病。</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上腹部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肝脏、胆囊、胰腺、脾脏、双肾</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了解各脏器有无形态学改变及占位性病变</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肿瘤、结石、炎症等</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输尿管、膀胱、前列腺</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了解输尿管、膀胱、前列腺情况，判断有无形态学改变及占位性病变。</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下腹部</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输尿管、膀胱、子宫、附件</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了解输尿管、膀胱、子宫、附件情况，判断有无形态学改变及占位性病变。</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双侧乳腺及腋窝淋巴结</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通过彩色超声仪器检查乳腺，发现乳腺增生、肿物、结节、囊肿、腺瘤、乳腺癌等病变。</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动脉硬化早期检测</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动脉硬化早期检测</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通过测定全身动脉血管狭窄程度与动脉弹性，便于早发现动脉硬化。</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放射检查</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胸部CT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CT所具有的高密度分辨率以及断面成像，无重叠干扰等优点，对普通X线检查有一定诊断难度的纵隔病变、肺内微小病变及对胸内淋巴结增大的诊断有着特殊价值，特别对肺部肿瘤早期诊断有重要意义。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i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000" w:type="pct"/>
            <w:gridSpan w:val="5"/>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kern w:val="0"/>
                <w:sz w:val="21"/>
                <w:szCs w:val="21"/>
                <w:highlight w:val="none"/>
                <w:lang w:bidi="ar"/>
              </w:rPr>
              <w:t>以下为选项包</w:t>
            </w:r>
            <w:r>
              <w:rPr>
                <w:rFonts w:hint="eastAsia" w:ascii="宋体" w:hAnsi="宋体" w:eastAsia="宋体" w:cs="宋体"/>
                <w:b/>
                <w:color w:val="auto"/>
                <w:kern w:val="0"/>
                <w:sz w:val="21"/>
                <w:szCs w:val="21"/>
                <w:highlight w:val="none"/>
                <w:lang w:eastAsia="zh-CN" w:bidi="ar"/>
              </w:rPr>
              <w:t>(</w:t>
            </w:r>
            <w:r>
              <w:rPr>
                <w:rFonts w:hint="eastAsia" w:ascii="宋体" w:hAnsi="宋体" w:eastAsia="宋体" w:cs="宋体"/>
                <w:b/>
                <w:color w:val="auto"/>
                <w:kern w:val="0"/>
                <w:sz w:val="21"/>
                <w:szCs w:val="21"/>
                <w:highlight w:val="none"/>
                <w:lang w:bidi="ar"/>
              </w:rPr>
              <w:t>四选一</w:t>
            </w:r>
            <w:r>
              <w:rPr>
                <w:rFonts w:hint="eastAsia" w:ascii="宋体" w:hAnsi="宋体" w:eastAsia="宋体" w:cs="宋体"/>
                <w:b/>
                <w:color w:val="auto"/>
                <w:kern w:val="0"/>
                <w:sz w:val="21"/>
                <w:szCs w:val="21"/>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选项包</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体检项目+明细</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注解</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男</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lang w:bidi="ar"/>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restar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包一</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经颅多普勒</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TCD</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无创检测脑血管供血情况，主要用于评价脑动脉狭窄、闭塞或痉挛的部位及程度。</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vMerge w:val="continue"/>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FT3、FT4、TSH</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三项</w:t>
            </w:r>
            <w:r>
              <w:rPr>
                <w:rFonts w:hint="eastAsia" w:ascii="宋体" w:hAnsi="宋体" w:eastAsia="宋体" w:cs="宋体"/>
                <w:color w:val="auto"/>
                <w:kern w:val="0"/>
                <w:sz w:val="21"/>
                <w:szCs w:val="21"/>
                <w:highlight w:val="none"/>
                <w:lang w:eastAsia="zh-CN" w:bidi="ar"/>
              </w:rPr>
              <w:t>)</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了解甲状腺激素水平，提示有无甲亢、甲减、自身免疫性甲状腺疾病等疾病</w:t>
            </w:r>
          </w:p>
        </w:tc>
        <w:tc>
          <w:tcPr>
            <w:tcW w:w="397"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3"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包二</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碳13呼气试验</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评估有无幽门螺旋杆菌的感染</w:t>
            </w:r>
          </w:p>
        </w:tc>
        <w:tc>
          <w:tcPr>
            <w:tcW w:w="397"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3"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包三</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心脏彩超</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动态显示心腔内结构、心脏的搏动和血液流动，评估有无高血压性心脏病、冠心病、先天性心脏病等心脏结构功能改变，是诊断心脏疾病的有效检查手段</w:t>
            </w:r>
          </w:p>
        </w:tc>
        <w:tc>
          <w:tcPr>
            <w:tcW w:w="397"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c>
          <w:tcPr>
            <w:tcW w:w="383" w:type="pct"/>
            <w:shd w:val="clear" w:color="auto" w:fill="FFFFFF"/>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24" w:type="pct"/>
            <w:shd w:val="clear" w:color="auto" w:fill="auto"/>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包四</w:t>
            </w:r>
          </w:p>
        </w:tc>
        <w:tc>
          <w:tcPr>
            <w:tcW w:w="861"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宫颈液基细胞学检测</w:t>
            </w:r>
          </w:p>
        </w:tc>
        <w:tc>
          <w:tcPr>
            <w:tcW w:w="2832"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筛查宫颈早期病变较先进的检测方法，同时还能发现部分癌前病变，微生物感染如霉菌、滴虫、病毒、衣原体、人乳头瘤病毒等。</w:t>
            </w:r>
          </w:p>
        </w:tc>
        <w:tc>
          <w:tcPr>
            <w:tcW w:w="397"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p>
        </w:tc>
        <w:tc>
          <w:tcPr>
            <w:tcW w:w="383" w:type="pct"/>
            <w:shd w:val="clear" w:color="auto" w:fill="FFFFFF"/>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28" w:right="28"/>
              <w:rPr>
                <w:rFonts w:hint="eastAsia" w:ascii="宋体" w:hAnsi="宋体" w:eastAsia="宋体" w:cs="宋体"/>
                <w:color w:val="auto"/>
                <w:sz w:val="21"/>
                <w:szCs w:val="21"/>
                <w:highlight w:val="none"/>
              </w:rPr>
            </w:pPr>
          </w:p>
        </w:tc>
      </w:tr>
    </w:tbl>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2" w:firstLineChars="200"/>
        <w:textAlignment w:val="auto"/>
        <w:outlineLvl w:val="9"/>
        <w:rPr>
          <w:rFonts w:hint="eastAsia" w:ascii="宋体" w:hAnsi="宋体" w:eastAsia="宋体"/>
          <w:b/>
          <w:bCs/>
          <w:color w:val="auto"/>
          <w:highlight w:val="none"/>
          <w:lang w:val="en-US" w:eastAsia="zh-CN"/>
        </w:rPr>
      </w:pPr>
      <w:r>
        <w:rPr>
          <w:rFonts w:hint="eastAsia" w:ascii="宋体" w:hAnsi="宋体" w:eastAsia="宋体"/>
          <w:b/>
          <w:bCs/>
          <w:color w:val="auto"/>
          <w:highlight w:val="none"/>
          <w:lang w:val="en-US" w:eastAsia="zh-CN"/>
        </w:rPr>
        <w:t>项目实施要求</w:t>
      </w:r>
      <w:bookmarkEnd w:id="1037"/>
      <w:bookmarkEnd w:id="1038"/>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为当日参与体检的人员提供营养早餐一份，包含：牛奶一盒，鸡蛋一个，糕点一份，小菜一份，粥一份，其中糕点、小菜、粥可续加</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从</w:t>
      </w:r>
      <w:r>
        <w:rPr>
          <w:rFonts w:hint="eastAsia" w:ascii="宋体" w:hAnsi="宋体" w:eastAsia="宋体" w:cs="宋体"/>
          <w:color w:val="auto"/>
          <w:sz w:val="24"/>
          <w:szCs w:val="24"/>
          <w:highlight w:val="none"/>
        </w:rPr>
        <w:t>合同签订之日起30个工作日内为采购人集中体检时间，该时段内投标人为采购人提供不低于15个工作日的体检绿色通道</w:t>
      </w:r>
      <w:r>
        <w:rPr>
          <w:rFonts w:hint="eastAsia" w:ascii="宋体" w:hAnsi="宋体" w:eastAsia="宋体" w:cs="宋体"/>
          <w:color w:val="auto"/>
          <w:sz w:val="24"/>
          <w:szCs w:val="24"/>
          <w:highlight w:val="none"/>
          <w:lang w:eastAsia="zh-CN"/>
        </w:rPr>
        <w:t>及大巴车接送服务，</w:t>
      </w:r>
      <w:r>
        <w:rPr>
          <w:rFonts w:hint="eastAsia" w:ascii="宋体" w:hAnsi="宋体" w:eastAsia="宋体" w:cs="宋体"/>
          <w:color w:val="auto"/>
          <w:sz w:val="24"/>
          <w:szCs w:val="24"/>
          <w:highlight w:val="none"/>
        </w:rPr>
        <w:t>以确保服务流程顺畅，确保对每一名职工的服务保障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其余时间由采购人教职工自行前往进行体检，投标人按本合同要求提供同等服务</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★个人体检完成后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投标人须在</w:t>
      </w:r>
      <w:r>
        <w:rPr>
          <w:rFonts w:hint="eastAsia" w:ascii="宋体" w:hAnsi="宋体" w:eastAsia="宋体" w:cs="宋体"/>
          <w:color w:val="auto"/>
          <w:sz w:val="24"/>
          <w:szCs w:val="24"/>
          <w:highlight w:val="none"/>
        </w:rPr>
        <w:t>十个工作日内向采购人提供纸质版本体检图文报告；体检图文报告须包含：分析总结检测结果、临床医学专家审核意见；同时，本项目工作完成后须</w:t>
      </w:r>
      <w:r>
        <w:rPr>
          <w:rFonts w:hint="eastAsia" w:ascii="宋体" w:hAnsi="宋体" w:eastAsia="宋体" w:cs="宋体"/>
          <w:color w:val="auto"/>
          <w:sz w:val="24"/>
          <w:szCs w:val="24"/>
          <w:highlight w:val="none"/>
          <w:lang w:val="en-US" w:eastAsia="zh-CN"/>
        </w:rPr>
        <w:t>向采购人</w:t>
      </w:r>
      <w:r>
        <w:rPr>
          <w:rFonts w:hint="eastAsia" w:ascii="宋体" w:hAnsi="宋体" w:eastAsia="宋体" w:cs="宋体"/>
          <w:color w:val="auto"/>
          <w:sz w:val="24"/>
          <w:szCs w:val="24"/>
          <w:highlight w:val="none"/>
        </w:rPr>
        <w:t>提供采购人单位健康状况分析报告</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如体检人员检查出重大疾病，需要进一步诊断的，投标人</w:t>
      </w:r>
      <w:r>
        <w:rPr>
          <w:rFonts w:hint="eastAsia" w:ascii="宋体" w:hAnsi="宋体" w:eastAsia="宋体" w:cs="宋体"/>
          <w:color w:val="auto"/>
          <w:sz w:val="24"/>
          <w:szCs w:val="24"/>
          <w:highlight w:val="none"/>
          <w:lang w:val="en-US" w:eastAsia="zh-CN"/>
        </w:rPr>
        <w:t>须积极配合，</w:t>
      </w:r>
      <w:r>
        <w:rPr>
          <w:rFonts w:hint="eastAsia" w:ascii="宋体" w:hAnsi="宋体" w:eastAsia="宋体" w:cs="宋体"/>
          <w:color w:val="auto"/>
          <w:sz w:val="24"/>
          <w:szCs w:val="24"/>
          <w:highlight w:val="none"/>
        </w:rPr>
        <w:t>投标人需配备核磁、胃肠镜等</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进一步诊断费用由职工个人支付</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★投标人在采购人职工体检前两个工作日内向采购人</w:t>
      </w:r>
      <w:r>
        <w:rPr>
          <w:rFonts w:hint="eastAsia" w:ascii="宋体" w:hAnsi="宋体" w:eastAsia="宋体" w:cs="宋体"/>
          <w:color w:val="auto"/>
          <w:sz w:val="24"/>
          <w:szCs w:val="24"/>
          <w:highlight w:val="none"/>
          <w:lang w:eastAsia="zh-CN"/>
        </w:rPr>
        <w:t>说明</w:t>
      </w:r>
      <w:r>
        <w:rPr>
          <w:rFonts w:hint="eastAsia" w:ascii="宋体" w:hAnsi="宋体" w:eastAsia="宋体" w:cs="宋体"/>
          <w:color w:val="auto"/>
          <w:sz w:val="24"/>
          <w:szCs w:val="24"/>
          <w:highlight w:val="none"/>
        </w:rPr>
        <w:t>提供健康检查注意事项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★投标人应落实保密制度，不得将信息告知其他人员</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为满足采购人实际体检人数要求，</w:t>
      </w:r>
      <w:r>
        <w:rPr>
          <w:rFonts w:hint="eastAsia" w:ascii="宋体" w:hAnsi="宋体" w:eastAsia="宋体" w:cs="宋体"/>
          <w:color w:val="auto"/>
          <w:sz w:val="24"/>
          <w:szCs w:val="24"/>
          <w:highlight w:val="none"/>
        </w:rPr>
        <w:t>投标人具有独立的健康检查场所,能做到检患分离，男士女士体检分区，且能满足单日接待健康检查400人及以上健康检查能力</w:t>
      </w: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投标人提供</w:t>
      </w:r>
      <w:r>
        <w:rPr>
          <w:rFonts w:hint="eastAsia" w:ascii="宋体" w:hAnsi="宋体" w:eastAsia="宋体" w:cs="宋体"/>
          <w:b/>
          <w:bCs/>
          <w:color w:val="auto"/>
          <w:sz w:val="24"/>
          <w:szCs w:val="24"/>
          <w:highlight w:val="none"/>
          <w:lang w:val="en-US" w:eastAsia="zh-CN"/>
        </w:rPr>
        <w:t>用于本项目的</w:t>
      </w:r>
      <w:r>
        <w:rPr>
          <w:rFonts w:hint="eastAsia" w:ascii="宋体" w:hAnsi="宋体" w:eastAsia="宋体" w:cs="宋体"/>
          <w:b/>
          <w:bCs/>
          <w:color w:val="auto"/>
          <w:sz w:val="24"/>
          <w:szCs w:val="24"/>
          <w:highlight w:val="none"/>
        </w:rPr>
        <w:t>健康检查场地</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检患分离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男士女士体检分区</w:t>
      </w:r>
      <w:r>
        <w:rPr>
          <w:rFonts w:hint="eastAsia" w:ascii="宋体" w:hAnsi="宋体" w:eastAsia="宋体" w:cs="宋体"/>
          <w:b/>
          <w:bCs/>
          <w:color w:val="auto"/>
          <w:sz w:val="24"/>
          <w:szCs w:val="24"/>
          <w:highlight w:val="none"/>
          <w:lang w:eastAsia="zh-CN"/>
        </w:rPr>
        <w:t>等</w:t>
      </w:r>
      <w:r>
        <w:rPr>
          <w:rFonts w:hint="eastAsia" w:ascii="宋体" w:hAnsi="宋体" w:eastAsia="宋体" w:cs="宋体"/>
          <w:b/>
          <w:bCs/>
          <w:color w:val="auto"/>
          <w:sz w:val="24"/>
          <w:szCs w:val="24"/>
          <w:highlight w:val="none"/>
        </w:rPr>
        <w:t>场所照片及</w:t>
      </w:r>
      <w:r>
        <w:rPr>
          <w:rFonts w:hint="eastAsia" w:ascii="宋体" w:hAnsi="宋体" w:eastAsia="宋体" w:cs="宋体"/>
          <w:b/>
          <w:bCs/>
          <w:color w:val="auto"/>
          <w:sz w:val="24"/>
          <w:szCs w:val="24"/>
          <w:highlight w:val="none"/>
          <w:lang w:val="en-US" w:eastAsia="zh-CN"/>
        </w:rPr>
        <w:t>场地拥有权</w:t>
      </w:r>
      <w:r>
        <w:rPr>
          <w:rFonts w:hint="eastAsia" w:ascii="宋体" w:hAnsi="宋体" w:eastAsia="宋体" w:cs="宋体"/>
          <w:b/>
          <w:bCs/>
          <w:color w:val="auto"/>
          <w:sz w:val="24"/>
          <w:szCs w:val="24"/>
          <w:highlight w:val="none"/>
        </w:rPr>
        <w:t>相关证明材料</w:t>
      </w:r>
      <w:r>
        <w:rPr>
          <w:rFonts w:hint="eastAsia" w:ascii="宋体" w:hAnsi="宋体" w:eastAsia="宋体" w:cs="宋体"/>
          <w:b/>
          <w:bCs/>
          <w:color w:val="auto"/>
          <w:sz w:val="24"/>
          <w:szCs w:val="24"/>
          <w:highlight w:val="none"/>
          <w:lang w:val="en-US" w:eastAsia="zh-CN"/>
        </w:rPr>
        <w:t>(房产证复印件或买卖合同复印件或租赁合同复印件或国土证复印件)</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(2)投标人</w:t>
      </w:r>
      <w:r>
        <w:rPr>
          <w:rFonts w:hint="eastAsia" w:ascii="宋体" w:hAnsi="宋体" w:eastAsia="宋体" w:cs="宋体"/>
          <w:b/>
          <w:bCs/>
          <w:color w:val="auto"/>
          <w:sz w:val="24"/>
          <w:szCs w:val="24"/>
          <w:highlight w:val="none"/>
        </w:rPr>
        <w:t>提供2021年以来任意一日接待检查流水相关证明材料复印件并加盖投标人公章】。</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★投标人承诺安排不少于2名具有高级职称的医生到采购人单位做健康</w:t>
      </w:r>
      <w:r>
        <w:rPr>
          <w:rFonts w:hint="eastAsia" w:ascii="宋体" w:hAnsi="宋体" w:eastAsia="宋体" w:cs="宋体"/>
          <w:color w:val="auto"/>
          <w:sz w:val="24"/>
          <w:szCs w:val="24"/>
          <w:highlight w:val="none"/>
          <w:lang w:val="en-US" w:eastAsia="zh-CN"/>
        </w:rPr>
        <w:t>知识</w:t>
      </w:r>
      <w:r>
        <w:rPr>
          <w:rFonts w:hint="eastAsia" w:ascii="宋体" w:hAnsi="宋体" w:eastAsia="宋体" w:cs="宋体"/>
          <w:color w:val="auto"/>
          <w:sz w:val="24"/>
          <w:szCs w:val="24"/>
          <w:highlight w:val="none"/>
        </w:rPr>
        <w:t>讲座</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体检结果解读</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健康辅导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其中</w:t>
      </w:r>
      <w:r>
        <w:rPr>
          <w:rFonts w:hint="eastAsia" w:ascii="宋体" w:hAnsi="宋体" w:eastAsia="宋体" w:cs="宋体"/>
          <w:color w:val="auto"/>
          <w:sz w:val="24"/>
          <w:szCs w:val="24"/>
          <w:highlight w:val="none"/>
        </w:rPr>
        <w:t>体检结果解读</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健康辅导</w:t>
      </w:r>
      <w:r>
        <w:rPr>
          <w:rFonts w:hint="eastAsia" w:ascii="宋体" w:hAnsi="宋体" w:eastAsia="宋体" w:cs="宋体"/>
          <w:color w:val="auto"/>
          <w:sz w:val="24"/>
          <w:szCs w:val="24"/>
          <w:highlight w:val="none"/>
          <w:lang w:val="en-US" w:eastAsia="zh-CN"/>
        </w:rPr>
        <w:t>)至少二次；</w:t>
      </w:r>
      <w:r>
        <w:rPr>
          <w:rFonts w:hint="eastAsia" w:ascii="宋体" w:hAnsi="宋体" w:eastAsia="宋体" w:cs="宋体"/>
          <w:color w:val="auto"/>
          <w:sz w:val="24"/>
          <w:szCs w:val="24"/>
          <w:highlight w:val="none"/>
        </w:rPr>
        <w:t>健康知识讲座</w:t>
      </w:r>
      <w:r>
        <w:rPr>
          <w:rFonts w:hint="eastAsia" w:ascii="宋体" w:hAnsi="宋体" w:eastAsia="宋体" w:cs="宋体"/>
          <w:color w:val="auto"/>
          <w:sz w:val="24"/>
          <w:szCs w:val="24"/>
          <w:highlight w:val="none"/>
          <w:lang w:val="en-US" w:eastAsia="zh-CN"/>
        </w:rPr>
        <w:t>至少二</w:t>
      </w:r>
      <w:r>
        <w:rPr>
          <w:rFonts w:hint="eastAsia" w:ascii="宋体" w:hAnsi="宋体" w:eastAsia="宋体" w:cs="宋体"/>
          <w:color w:val="auto"/>
          <w:sz w:val="24"/>
          <w:szCs w:val="24"/>
          <w:highlight w:val="none"/>
          <w:lang w:eastAsia="zh-CN"/>
        </w:rPr>
        <w:t>次</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★如因投标人工作人员在履行职务过程中的疏忽、失职、过错等故意或者过失原因给采购人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val="en-US" w:eastAsia="zh-CN"/>
        </w:rPr>
        <w:t>体检人员</w:t>
      </w:r>
      <w:r>
        <w:rPr>
          <w:rFonts w:hint="eastAsia" w:ascii="宋体" w:hAnsi="宋体" w:eastAsia="宋体" w:cs="宋体"/>
          <w:color w:val="auto"/>
          <w:sz w:val="24"/>
          <w:szCs w:val="24"/>
          <w:highlight w:val="none"/>
        </w:rPr>
        <w:t>造成损失或侵害，包括但不限于采购人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val="en-US" w:eastAsia="zh-CN"/>
        </w:rPr>
        <w:t>体检人员</w:t>
      </w:r>
      <w:r>
        <w:rPr>
          <w:rFonts w:hint="eastAsia" w:ascii="宋体" w:hAnsi="宋体" w:eastAsia="宋体" w:cs="宋体"/>
          <w:color w:val="auto"/>
          <w:sz w:val="24"/>
          <w:szCs w:val="24"/>
          <w:highlight w:val="none"/>
        </w:rPr>
        <w:t>本身的财产损失、由此而导致的采购人对任何第三方的法律责任等，投标人对此均应承担全部的赔偿责任</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采购人的教职工需要预约门诊专家号的，投标人</w:t>
      </w:r>
      <w:r>
        <w:rPr>
          <w:rFonts w:hint="eastAsia" w:ascii="宋体" w:hAnsi="宋体" w:eastAsia="宋体" w:cs="宋体"/>
          <w:color w:val="auto"/>
          <w:sz w:val="24"/>
          <w:szCs w:val="24"/>
          <w:highlight w:val="none"/>
          <w:lang w:eastAsia="zh-CN"/>
        </w:rPr>
        <w:t>能够</w:t>
      </w:r>
      <w:r>
        <w:rPr>
          <w:rFonts w:hint="eastAsia" w:ascii="宋体" w:hAnsi="宋体" w:eastAsia="宋体" w:cs="宋体"/>
          <w:color w:val="auto"/>
          <w:sz w:val="24"/>
          <w:szCs w:val="24"/>
          <w:highlight w:val="none"/>
        </w:rPr>
        <w:t>协助采购人的教职工预约投标人</w:t>
      </w:r>
      <w:r>
        <w:rPr>
          <w:rFonts w:hint="eastAsia" w:ascii="宋体" w:hAnsi="宋体" w:eastAsia="宋体" w:cs="宋体"/>
          <w:color w:val="auto"/>
          <w:sz w:val="24"/>
          <w:szCs w:val="24"/>
          <w:highlight w:val="none"/>
          <w:lang w:eastAsia="zh-CN"/>
        </w:rPr>
        <w:t>本单位常年正常开诊</w:t>
      </w:r>
      <w:r>
        <w:rPr>
          <w:rFonts w:hint="eastAsia" w:ascii="宋体" w:hAnsi="宋体" w:eastAsia="宋体" w:cs="宋体"/>
          <w:color w:val="auto"/>
          <w:sz w:val="24"/>
          <w:szCs w:val="24"/>
          <w:highlight w:val="none"/>
        </w:rPr>
        <w:t>专家号</w:t>
      </w:r>
      <w:r>
        <w:rPr>
          <w:rFonts w:hint="eastAsia" w:cs="宋体"/>
          <w:color w:val="auto"/>
          <w:sz w:val="24"/>
          <w:szCs w:val="24"/>
          <w:highlight w:val="none"/>
          <w:lang w:val="en-US" w:eastAsia="zh-CN"/>
        </w:rPr>
        <w:t>,且采购人和教职工不另行支付该费用</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11.当采购人</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HPV16.18型</w:t>
      </w:r>
      <w:r>
        <w:rPr>
          <w:rFonts w:hint="eastAsia" w:ascii="宋体" w:hAnsi="宋体" w:eastAsia="宋体" w:cs="宋体"/>
          <w:color w:val="auto"/>
          <w:sz w:val="24"/>
          <w:szCs w:val="24"/>
          <w:highlight w:val="none"/>
          <w:lang w:eastAsia="zh-CN"/>
        </w:rPr>
        <w:t>检测时，</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CN"/>
        </w:rPr>
        <w:t>能够满足</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需要提供检测服务</w:t>
      </w:r>
      <w:r>
        <w:rPr>
          <w:rFonts w:hint="eastAsia" w:cs="宋体"/>
          <w:color w:val="auto"/>
          <w:sz w:val="24"/>
          <w:szCs w:val="24"/>
          <w:highlight w:val="none"/>
          <w:lang w:val="en-US" w:eastAsia="zh-CN"/>
        </w:rPr>
        <w:t>,且采购人和教职工不另行支付该费用</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12.当采购人</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超声骨密度</w:t>
      </w:r>
      <w:r>
        <w:rPr>
          <w:rFonts w:hint="eastAsia" w:ascii="宋体" w:hAnsi="宋体" w:eastAsia="宋体" w:cs="宋体"/>
          <w:color w:val="auto"/>
          <w:sz w:val="24"/>
          <w:szCs w:val="24"/>
          <w:highlight w:val="none"/>
          <w:lang w:eastAsia="zh-CN"/>
        </w:rPr>
        <w:t>检测时，</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CN"/>
        </w:rPr>
        <w:t>能够满足</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需要提供检测服务</w:t>
      </w:r>
      <w:r>
        <w:rPr>
          <w:rFonts w:hint="eastAsia" w:cs="宋体"/>
          <w:color w:val="auto"/>
          <w:sz w:val="24"/>
          <w:szCs w:val="24"/>
          <w:highlight w:val="none"/>
          <w:lang w:val="en-US" w:eastAsia="zh-CN"/>
        </w:rPr>
        <w:t>,且采购人和教职工不另行支付该费用</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13.当采购人</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经颅多普勒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TCD</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检测</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CN"/>
        </w:rPr>
        <w:t>能够满足</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需要提供检测服务</w:t>
      </w:r>
      <w:r>
        <w:rPr>
          <w:rFonts w:hint="eastAsia" w:cs="宋体"/>
          <w:color w:val="auto"/>
          <w:sz w:val="24"/>
          <w:szCs w:val="24"/>
          <w:highlight w:val="none"/>
          <w:lang w:val="en-US" w:eastAsia="zh-CN"/>
        </w:rPr>
        <w:t>,且采购人和教职工不另行支付该费用</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val="en-US" w:eastAsia="zh-CN"/>
        </w:rPr>
        <w:t>14.投标人</w:t>
      </w:r>
      <w:r>
        <w:rPr>
          <w:rFonts w:hint="eastAsia" w:ascii="宋体" w:hAnsi="宋体" w:eastAsia="宋体" w:cs="宋体"/>
          <w:color w:val="auto"/>
          <w:sz w:val="24"/>
          <w:szCs w:val="24"/>
          <w:highlight w:val="none"/>
          <w:lang w:eastAsia="zh-CN"/>
        </w:rPr>
        <w:t>能够为</w:t>
      </w:r>
      <w:r>
        <w:rPr>
          <w:rFonts w:hint="eastAsia" w:ascii="宋体" w:hAnsi="宋体" w:eastAsia="宋体" w:cs="宋体"/>
          <w:color w:val="auto"/>
          <w:sz w:val="24"/>
          <w:szCs w:val="24"/>
          <w:highlight w:val="none"/>
        </w:rPr>
        <w:t>每名教职工提供体质检测服务，根据体质类型制定养生调理和治疗方案</w:t>
      </w:r>
      <w:r>
        <w:rPr>
          <w:rFonts w:hint="eastAsia" w:cs="宋体"/>
          <w:color w:val="auto"/>
          <w:sz w:val="24"/>
          <w:szCs w:val="24"/>
          <w:highlight w:val="none"/>
          <w:lang w:val="en-US" w:eastAsia="zh-CN"/>
        </w:rPr>
        <w:t>,且采购人和教职工不另行支付该费用</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15.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投标人在</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日</w:t>
      </w:r>
      <w:r>
        <w:rPr>
          <w:rFonts w:hint="eastAsia" w:ascii="宋体" w:hAnsi="宋体" w:eastAsia="宋体" w:cs="宋体"/>
          <w:color w:val="auto"/>
          <w:kern w:val="2"/>
          <w:sz w:val="24"/>
          <w:szCs w:val="24"/>
          <w:highlight w:val="none"/>
          <w:lang w:val="en-US" w:eastAsia="zh-CN"/>
        </w:rPr>
        <w:t>向采购人提供</w:t>
      </w:r>
      <w:r>
        <w:rPr>
          <w:rFonts w:hint="eastAsia" w:ascii="宋体" w:hAnsi="宋体" w:eastAsia="宋体" w:cs="宋体"/>
          <w:color w:val="auto"/>
          <w:sz w:val="24"/>
          <w:szCs w:val="24"/>
          <w:highlight w:val="none"/>
          <w:lang w:val="en-US" w:eastAsia="zh-CN"/>
        </w:rPr>
        <w:t>截至该时间尚</w:t>
      </w:r>
      <w:r>
        <w:rPr>
          <w:rFonts w:hint="eastAsia" w:ascii="宋体" w:hAnsi="宋体" w:eastAsia="宋体" w:cs="宋体"/>
          <w:color w:val="auto"/>
          <w:kern w:val="2"/>
          <w:sz w:val="24"/>
          <w:szCs w:val="24"/>
          <w:highlight w:val="none"/>
          <w:lang w:val="en-US" w:eastAsia="zh-CN"/>
        </w:rPr>
        <w:t>未参加的体检人次和对应体检项目</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rPr>
        <w:t>采购人</w:t>
      </w:r>
      <w:r>
        <w:rPr>
          <w:rFonts w:hint="eastAsia" w:ascii="宋体" w:hAnsi="宋体" w:eastAsia="宋体" w:cs="宋体"/>
          <w:color w:val="auto"/>
          <w:sz w:val="24"/>
          <w:szCs w:val="24"/>
          <w:highlight w:val="none"/>
          <w:lang w:val="en-US" w:eastAsia="zh-CN"/>
        </w:rPr>
        <w:t>在合同期限内，根据剩余体检人次及其对应的体检项目安排教职工参与体检，投标人需按本合同要求提供同等体检服务，并且保证体检服务质量</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说明：投标人</w:t>
      </w:r>
      <w:r>
        <w:rPr>
          <w:rFonts w:hint="eastAsia" w:ascii="宋体" w:hAnsi="宋体" w:eastAsia="宋体" w:cs="宋体"/>
          <w:b/>
          <w:bCs/>
          <w:color w:val="auto"/>
          <w:sz w:val="24"/>
          <w:szCs w:val="24"/>
          <w:highlight w:val="none"/>
          <w:lang w:val="en-US" w:eastAsia="zh-CN"/>
        </w:rPr>
        <w:t>应单独针对此项要求在其他投标文件中</w:t>
      </w:r>
      <w:r>
        <w:rPr>
          <w:rFonts w:hint="eastAsia" w:ascii="宋体" w:hAnsi="宋体" w:eastAsia="宋体" w:cs="宋体"/>
          <w:b/>
          <w:bCs/>
          <w:color w:val="auto"/>
          <w:sz w:val="24"/>
          <w:szCs w:val="24"/>
          <w:highlight w:val="none"/>
        </w:rPr>
        <w:t>提供承诺函并加盖投标人公章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格式自拟)</w:t>
      </w:r>
      <w:r>
        <w:rPr>
          <w:rFonts w:hint="eastAsia" w:ascii="宋体" w:hAnsi="宋体" w:eastAsia="宋体" w:cs="宋体"/>
          <w:b/>
          <w:bCs/>
          <w:color w:val="auto"/>
          <w:sz w:val="24"/>
          <w:szCs w:val="24"/>
          <w:highlight w:val="none"/>
        </w:rPr>
        <w:t>。</w:t>
      </w:r>
    </w:p>
    <w:p>
      <w:pPr>
        <w:pStyle w:val="24"/>
        <w:keepNext w:val="0"/>
        <w:keepLines w:val="0"/>
        <w:pageBreakBefore w:val="0"/>
        <w:widowControl w:val="0"/>
        <w:kinsoku/>
        <w:overflowPunct/>
        <w:autoSpaceDE/>
        <w:autoSpaceDN/>
        <w:bidi w:val="0"/>
        <w:textAlignment w:val="auto"/>
        <w:rPr>
          <w:rFonts w:hint="eastAsia"/>
          <w:color w:val="auto"/>
          <w:highlight w:val="none"/>
          <w:lang w:val="en-US" w:eastAsia="zh-CN"/>
        </w:rPr>
      </w:pPr>
      <w:bookmarkStart w:id="1039" w:name="_Toc2958"/>
      <w:bookmarkStart w:id="1040" w:name="_Toc24338"/>
      <w:bookmarkStart w:id="1041" w:name="_Toc27497"/>
      <w:bookmarkStart w:id="1042" w:name="_Toc9683"/>
      <w:bookmarkStart w:id="1043" w:name="_Toc8752_WPSOffice_Level2"/>
      <w:bookmarkStart w:id="1044" w:name="_Toc7101"/>
      <w:bookmarkStart w:id="1045" w:name="_Toc12739"/>
      <w:bookmarkStart w:id="1046" w:name="_Toc6974"/>
      <w:r>
        <w:rPr>
          <w:rFonts w:hint="eastAsia" w:ascii="宋体" w:hAnsi="宋体" w:cs="宋体"/>
          <w:color w:val="auto"/>
          <w:sz w:val="24"/>
          <w:szCs w:val="24"/>
          <w:highlight w:val="none"/>
        </w:rPr>
        <w:t>★</w:t>
      </w:r>
      <w:r>
        <w:rPr>
          <w:rFonts w:hint="eastAsia"/>
          <w:color w:val="auto"/>
          <w:highlight w:val="none"/>
          <w:lang w:val="en-US" w:eastAsia="zh-CN"/>
        </w:rPr>
        <w:t>商务要求</w:t>
      </w:r>
      <w:bookmarkEnd w:id="1039"/>
    </w:p>
    <w:bookmarkEnd w:id="1040"/>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2" w:firstLineChars="200"/>
        <w:textAlignment w:val="auto"/>
        <w:outlineLvl w:val="9"/>
        <w:rPr>
          <w:rFonts w:hint="eastAsia" w:ascii="宋体" w:hAnsi="宋体" w:eastAsia="宋体"/>
          <w:b/>
          <w:bCs/>
          <w:color w:val="auto"/>
          <w:highlight w:val="none"/>
          <w:lang w:val="en-US" w:eastAsia="zh-CN"/>
        </w:rPr>
      </w:pPr>
      <w:r>
        <w:rPr>
          <w:rFonts w:hint="eastAsia" w:ascii="宋体" w:hAnsi="宋体" w:eastAsia="宋体"/>
          <w:b/>
          <w:bCs/>
          <w:color w:val="auto"/>
          <w:highlight w:val="none"/>
          <w:lang w:val="en-US" w:eastAsia="zh-CN"/>
        </w:rPr>
        <w:t>履约期限和地点：</w:t>
      </w:r>
    </w:p>
    <w:p>
      <w:pPr>
        <w:pStyle w:val="32"/>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default" w:asciiTheme="minorEastAsia" w:hAnsiTheme="minorEastAsia" w:eastAsiaTheme="minorEastAsia" w:cstheme="minorEastAsia"/>
          <w:b w:val="0"/>
          <w:bCs/>
          <w:i/>
          <w:i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1.履约期限：自合同签订之日起3年</w:t>
      </w:r>
      <w:r>
        <w:rPr>
          <w:rFonts w:hint="eastAsia" w:asciiTheme="minorEastAsia" w:hAnsiTheme="minorEastAsia" w:eastAsiaTheme="minorEastAsia" w:cstheme="minorEastAsia"/>
          <w:b w:val="0"/>
          <w:bCs/>
          <w:i/>
          <w:iCs/>
          <w:color w:val="auto"/>
          <w:sz w:val="24"/>
          <w:szCs w:val="24"/>
          <w:highlight w:val="none"/>
          <w:lang w:val="en-US" w:eastAsia="zh-CN"/>
        </w:rPr>
        <w:t>。</w:t>
      </w: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2.履约地点</w:t>
      </w:r>
      <w:r>
        <w:rPr>
          <w:rFonts w:hint="eastAsia" w:cstheme="minorBidi"/>
          <w:color w:val="auto"/>
          <w:kern w:val="2"/>
          <w:sz w:val="24"/>
          <w:szCs w:val="24"/>
          <w:highlight w:val="none"/>
          <w:lang w:val="en-US" w:eastAsia="zh-CN" w:bidi="ar-SA"/>
        </w:rPr>
        <w:t>：</w:t>
      </w: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①</w:t>
      </w:r>
      <w:r>
        <w:rPr>
          <w:rFonts w:hint="eastAsia" w:ascii="宋体" w:hAnsi="宋体" w:eastAsia="宋体" w:cstheme="minorBidi"/>
          <w:color w:val="auto"/>
          <w:kern w:val="2"/>
          <w:sz w:val="24"/>
          <w:szCs w:val="24"/>
          <w:highlight w:val="none"/>
          <w:lang w:val="en-US" w:eastAsia="zh-CN" w:bidi="ar-SA"/>
        </w:rPr>
        <w:t>讲解、培训、报告配送地址：郫都区红光街道港通北三路1899号；</w:t>
      </w: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②体检地址：中标供应商体检场所。</w:t>
      </w:r>
    </w:p>
    <w:bookmarkEnd w:id="1041"/>
    <w:bookmarkEnd w:id="1042"/>
    <w:bookmarkEnd w:id="1043"/>
    <w:bookmarkEnd w:id="1044"/>
    <w:bookmarkEnd w:id="1045"/>
    <w:bookmarkEnd w:id="1046"/>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leftChars="0"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bookmarkStart w:id="1047" w:name="_Toc30424"/>
      <w:r>
        <w:rPr>
          <w:rFonts w:hint="eastAsia" w:ascii="宋体" w:hAnsi="宋体" w:eastAsia="宋体" w:cstheme="minorBidi"/>
          <w:b/>
          <w:snapToGrid w:val="0"/>
          <w:color w:val="auto"/>
          <w:kern w:val="2"/>
          <w:sz w:val="24"/>
          <w:szCs w:val="24"/>
          <w:highlight w:val="none"/>
          <w:lang w:val="en-US" w:eastAsia="zh-CN" w:bidi="ar-SA"/>
        </w:rPr>
        <w:t>合同价款及支付方式</w:t>
      </w:r>
      <w:bookmarkEnd w:id="1047"/>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合同价款</w:t>
      </w: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合同单价是完成单人体检工作内容的全部体现，包含人员、体检、设备、耗材、早餐、税费、招标代理服务费、利润、响应内容等完成单人体检所需的一切费用。</w:t>
      </w: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2.支付方式</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rPr>
        <w:t>分阶段银行转账付款：</w:t>
      </w:r>
      <w:r>
        <w:rPr>
          <w:rFonts w:hint="eastAsia" w:ascii="宋体" w:hAnsi="宋体" w:cs="宋体"/>
          <w:color w:val="auto"/>
          <w:sz w:val="24"/>
          <w:szCs w:val="24"/>
          <w:highlight w:val="none"/>
          <w:lang w:eastAsia="zh-CN"/>
        </w:rPr>
        <w:t>合同服务费</w:t>
      </w:r>
      <w:r>
        <w:rPr>
          <w:rFonts w:hint="eastAsia" w:ascii="宋体" w:hAnsi="宋体" w:cs="宋体"/>
          <w:color w:val="auto"/>
          <w:sz w:val="24"/>
          <w:szCs w:val="24"/>
          <w:highlight w:val="none"/>
          <w:lang w:val="en-US" w:eastAsia="zh-CN"/>
        </w:rPr>
        <w:t>暂计</w:t>
      </w:r>
      <w:r>
        <w:rPr>
          <w:rFonts w:hint="eastAsia" w:ascii="宋体" w:hAnsi="宋体" w:cs="宋体"/>
          <w:color w:val="auto"/>
          <w:sz w:val="24"/>
          <w:szCs w:val="24"/>
          <w:highlight w:val="none"/>
          <w:lang w:eastAsia="zh-CN"/>
        </w:rPr>
        <w:t>总额共计</w:t>
      </w:r>
      <w:r>
        <w:rPr>
          <w:rFonts w:hint="eastAsia" w:ascii="宋体" w:hAnsi="宋体" w:cs="宋体"/>
          <w:color w:val="auto"/>
          <w:sz w:val="24"/>
          <w:szCs w:val="24"/>
          <w:highlight w:val="none"/>
          <w:lang w:val="en-US" w:eastAsia="zh-CN"/>
        </w:rPr>
        <w:t>1600000元(大写：人民币壹佰陆拾万元整)，最终费用以合同服务期结束时实际金额为准，采购人</w:t>
      </w:r>
      <w:r>
        <w:rPr>
          <w:rFonts w:hint="eastAsia" w:ascii="宋体" w:hAnsi="宋体" w:cs="宋体"/>
          <w:color w:val="auto"/>
          <w:sz w:val="24"/>
          <w:szCs w:val="24"/>
          <w:highlight w:val="none"/>
        </w:rPr>
        <w:t>分</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rPr>
        <w:t>阶段</w:t>
      </w:r>
      <w:r>
        <w:rPr>
          <w:rFonts w:hint="eastAsia" w:ascii="宋体" w:hAnsi="宋体" w:cs="宋体"/>
          <w:color w:val="auto"/>
          <w:sz w:val="24"/>
          <w:szCs w:val="24"/>
          <w:highlight w:val="none"/>
          <w:lang w:val="en-US" w:eastAsia="zh-CN"/>
        </w:rPr>
        <w:t>结算</w:t>
      </w:r>
      <w:r>
        <w:rPr>
          <w:rFonts w:hint="eastAsia" w:ascii="宋体" w:hAnsi="宋体" w:cs="宋体"/>
          <w:color w:val="auto"/>
          <w:sz w:val="24"/>
          <w:szCs w:val="24"/>
          <w:highlight w:val="none"/>
          <w:lang w:eastAsia="zh-CN"/>
        </w:rPr>
        <w:t>：</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rPr>
        <w:t>第一阶段：</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收到</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提供的符合</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财务要求且合法有效完整的等额完税发票之日起</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个日历天内，</w:t>
      </w:r>
      <w:r>
        <w:rPr>
          <w:rFonts w:hint="eastAsia" w:ascii="宋体" w:hAnsi="宋体" w:cs="宋体"/>
          <w:color w:val="auto"/>
          <w:sz w:val="24"/>
          <w:szCs w:val="24"/>
          <w:highlight w:val="none"/>
          <w:lang w:val="en-US" w:eastAsia="zh-CN"/>
        </w:rPr>
        <w:t>采购人向投标人预付</w:t>
      </w:r>
      <w:r>
        <w:rPr>
          <w:rFonts w:hint="eastAsia" w:ascii="宋体" w:hAnsi="宋体" w:cs="宋体"/>
          <w:color w:val="auto"/>
          <w:sz w:val="24"/>
          <w:szCs w:val="24"/>
          <w:highlight w:val="none"/>
        </w:rPr>
        <w:t>合同</w:t>
      </w:r>
      <w:r>
        <w:rPr>
          <w:rFonts w:hint="eastAsia" w:ascii="宋体" w:hAnsi="宋体" w:cs="宋体"/>
          <w:color w:val="auto"/>
          <w:sz w:val="24"/>
          <w:szCs w:val="24"/>
          <w:highlight w:val="none"/>
          <w:lang w:val="en-US" w:eastAsia="zh-CN"/>
        </w:rPr>
        <w:t>暂计</w:t>
      </w:r>
      <w:r>
        <w:rPr>
          <w:rFonts w:hint="eastAsia" w:ascii="宋体" w:hAnsi="宋体" w:cs="宋体"/>
          <w:color w:val="auto"/>
          <w:sz w:val="24"/>
          <w:szCs w:val="24"/>
          <w:highlight w:val="none"/>
        </w:rPr>
        <w:t>总金额的百分之</w:t>
      </w:r>
      <w:r>
        <w:rPr>
          <w:rFonts w:hint="eastAsia" w:ascii="宋体" w:hAnsi="宋体" w:cs="宋体"/>
          <w:color w:val="auto"/>
          <w:sz w:val="24"/>
          <w:szCs w:val="24"/>
          <w:highlight w:val="none"/>
          <w:lang w:val="en-US" w:eastAsia="zh-CN"/>
        </w:rPr>
        <w:t>五十</w:t>
      </w:r>
      <w:r>
        <w:rPr>
          <w:rFonts w:hint="eastAsia" w:ascii="宋体" w:hAnsi="宋体" w:cs="宋体"/>
          <w:color w:val="auto"/>
          <w:sz w:val="24"/>
          <w:szCs w:val="24"/>
          <w:highlight w:val="none"/>
        </w:rPr>
        <w:t>的合同款</w:t>
      </w:r>
      <w:r>
        <w:rPr>
          <w:rFonts w:hint="eastAsia" w:ascii="宋体" w:hAnsi="宋体" w:cs="宋体"/>
          <w:color w:val="auto"/>
          <w:sz w:val="24"/>
          <w:szCs w:val="24"/>
          <w:highlight w:val="none"/>
          <w:lang w:eastAsia="zh-CN"/>
        </w:rPr>
        <w:t>，即</w:t>
      </w:r>
      <w:r>
        <w:rPr>
          <w:rFonts w:hint="eastAsia" w:ascii="宋体" w:hAnsi="宋体" w:cs="宋体"/>
          <w:color w:val="auto"/>
          <w:sz w:val="24"/>
          <w:szCs w:val="24"/>
          <w:highlight w:val="none"/>
          <w:lang w:val="en-US" w:eastAsia="zh-CN"/>
        </w:rPr>
        <w:t>人民币800000元(大写：人民币捌拾万元整)。</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rPr>
        <w:t>第二阶段：2022年1</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val="en-US"/>
        </w:rPr>
        <w:t>月1日</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lang w:val="en-US"/>
        </w:rPr>
        <w:t>就已经提供的体检服务</w:t>
      </w:r>
      <w:r>
        <w:rPr>
          <w:rFonts w:hint="eastAsia" w:ascii="宋体" w:hAnsi="宋体" w:cs="宋体"/>
          <w:color w:val="auto"/>
          <w:sz w:val="24"/>
          <w:szCs w:val="24"/>
          <w:highlight w:val="none"/>
          <w:lang w:val="en-US" w:eastAsia="zh-CN"/>
        </w:rPr>
        <w:t>、剩余人次和对应套餐</w:t>
      </w:r>
      <w:r>
        <w:rPr>
          <w:rFonts w:hint="eastAsia" w:ascii="宋体" w:hAnsi="宋体" w:cs="宋体"/>
          <w:color w:val="auto"/>
          <w:sz w:val="24"/>
          <w:szCs w:val="24"/>
          <w:highlight w:val="none"/>
          <w:lang w:val="en-US"/>
        </w:rPr>
        <w:t>向</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en-US"/>
        </w:rPr>
        <w:t>提交服务清单，</w:t>
      </w:r>
      <w:r>
        <w:rPr>
          <w:rFonts w:hint="eastAsia" w:ascii="宋体" w:hAnsi="宋体" w:cs="宋体"/>
          <w:color w:val="auto"/>
          <w:sz w:val="24"/>
          <w:szCs w:val="24"/>
          <w:highlight w:val="none"/>
          <w:lang w:val="en-US" w:eastAsia="zh-CN"/>
        </w:rPr>
        <w:t>经采购人对体检人数进行核实并对投标人提供的相关服务验收合格后</w:t>
      </w:r>
      <w:r>
        <w:rPr>
          <w:rFonts w:hint="eastAsia" w:ascii="宋体" w:hAnsi="宋体" w:cs="宋体"/>
          <w:color w:val="auto"/>
          <w:sz w:val="24"/>
          <w:szCs w:val="24"/>
          <w:highlight w:val="none"/>
          <w:lang w:val="en-US"/>
        </w:rPr>
        <w:t>，自</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en-US"/>
        </w:rPr>
        <w:t>收到</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lang w:val="en-US"/>
        </w:rPr>
        <w:t>提供的符合</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lang w:val="en-US"/>
        </w:rPr>
        <w:t>财务要求且合法有效完整的等额完税发票之日起15个日历天内</w:t>
      </w:r>
      <w:r>
        <w:rPr>
          <w:rFonts w:hint="eastAsia" w:ascii="宋体" w:hAnsi="宋体" w:cs="宋体"/>
          <w:color w:val="auto"/>
          <w:sz w:val="24"/>
          <w:szCs w:val="24"/>
          <w:highlight w:val="none"/>
          <w:lang w:val="en-US" w:eastAsia="zh-CN"/>
        </w:rPr>
        <w:t>预付合同暂计总金额的剩余部分，即人民币800000元(大写：捌拾万元整)，</w:t>
      </w:r>
      <w:r>
        <w:rPr>
          <w:rFonts w:hint="eastAsia" w:ascii="宋体" w:hAnsi="宋体" w:cs="宋体"/>
          <w:color w:val="auto"/>
          <w:sz w:val="24"/>
          <w:szCs w:val="24"/>
          <w:highlight w:val="none"/>
        </w:rPr>
        <w:t>若</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收到</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发票之日早于</w:t>
      </w:r>
      <w:r>
        <w:rPr>
          <w:rFonts w:hint="eastAsia" w:ascii="宋体" w:hAnsi="宋体" w:cs="宋体"/>
          <w:color w:val="auto"/>
          <w:sz w:val="24"/>
          <w:szCs w:val="24"/>
          <w:highlight w:val="none"/>
          <w:lang w:val="en-US" w:eastAsia="zh-CN"/>
        </w:rPr>
        <w:t>验收合格的时间</w:t>
      </w:r>
      <w:r>
        <w:rPr>
          <w:rFonts w:hint="eastAsia" w:ascii="宋体" w:hAnsi="宋体" w:cs="宋体"/>
          <w:color w:val="auto"/>
          <w:sz w:val="24"/>
          <w:szCs w:val="24"/>
          <w:highlight w:val="none"/>
        </w:rPr>
        <w:t>，则自</w:t>
      </w:r>
      <w:r>
        <w:rPr>
          <w:rFonts w:hint="eastAsia" w:ascii="宋体" w:hAnsi="宋体" w:cs="宋体"/>
          <w:color w:val="auto"/>
          <w:sz w:val="24"/>
          <w:szCs w:val="24"/>
          <w:highlight w:val="none"/>
          <w:lang w:val="en-US" w:eastAsia="zh-CN"/>
        </w:rPr>
        <w:t>验收合格之日</w:t>
      </w:r>
      <w:r>
        <w:rPr>
          <w:rFonts w:hint="eastAsia" w:ascii="宋体" w:hAnsi="宋体" w:cs="宋体"/>
          <w:color w:val="auto"/>
          <w:sz w:val="24"/>
          <w:szCs w:val="24"/>
          <w:highlight w:val="none"/>
        </w:rPr>
        <w:t>起</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个日历天内支付。</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rPr>
        <w:t>第</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val="en-US"/>
        </w:rPr>
        <w:t>阶段：</w:t>
      </w:r>
      <w:r>
        <w:rPr>
          <w:rFonts w:hint="eastAsia" w:ascii="宋体" w:hAnsi="宋体" w:cs="宋体"/>
          <w:color w:val="auto"/>
          <w:sz w:val="24"/>
          <w:szCs w:val="24"/>
          <w:highlight w:val="none"/>
          <w:lang w:val="en-US" w:eastAsia="zh-CN"/>
        </w:rPr>
        <w:t>合同服务期结束时，投标人就已经提供服务的人次和对应套餐向采购人提交服务清单，经采购人对体检人数进行核实并对投标人提供的相关服务验收合格后</w:t>
      </w:r>
      <w:r>
        <w:rPr>
          <w:rFonts w:hint="eastAsia" w:ascii="宋体" w:hAnsi="宋体" w:cs="宋体"/>
          <w:color w:val="auto"/>
          <w:sz w:val="24"/>
          <w:szCs w:val="24"/>
          <w:highlight w:val="none"/>
          <w:lang w:val="en-US"/>
        </w:rPr>
        <w:t>，</w:t>
      </w:r>
      <w:r>
        <w:rPr>
          <w:rFonts w:hint="eastAsia" w:ascii="宋体" w:hAnsi="宋体" w:cs="宋体"/>
          <w:color w:val="auto"/>
          <w:sz w:val="24"/>
          <w:szCs w:val="24"/>
          <w:highlight w:val="none"/>
          <w:lang w:val="en-US" w:eastAsia="zh-CN"/>
        </w:rPr>
        <w:t>双方根据最终体检人次进行全额结算，体检人次未达到合同约定人次的，投标人须将未完成服务部分费用退还到采购人账户。</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3.投标人保证提供的银行账户信息真实有效，如果投标人账户信息更改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采购人原则上不予以更换合同账户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，需要在采购人付款前10个日历天内告知采购人，若因投标人原因导致采购人无法付款或错误付款，后果由投标人自行承担。</w:t>
      </w:r>
    </w:p>
    <w:p>
      <w:pPr>
        <w:pStyle w:val="33"/>
        <w:keepNext w:val="0"/>
        <w:keepLines w:val="0"/>
        <w:pageBreakBefore w:val="0"/>
        <w:widowControl w:val="0"/>
        <w:kinsoku/>
        <w:overflowPunct/>
        <w:autoSpaceDE/>
        <w:autoSpaceDN/>
        <w:bidi w:val="0"/>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4.资金支付方式：对公转账</w:t>
      </w:r>
      <w:r>
        <w:rPr>
          <w:rFonts w:hint="eastAsia" w:ascii="宋体" w:hAnsi="宋体" w:cs="宋体"/>
          <w:color w:val="auto"/>
          <w:sz w:val="24"/>
          <w:szCs w:val="24"/>
          <w:highlight w:val="none"/>
          <w:lang w:eastAsia="zh-CN"/>
        </w:rPr>
        <w:t>。</w:t>
      </w:r>
    </w:p>
    <w:p>
      <w:pPr>
        <w:pStyle w:val="24"/>
        <w:keepNext w:val="0"/>
        <w:keepLines w:val="0"/>
        <w:pageBreakBefore w:val="0"/>
        <w:widowControl w:val="0"/>
        <w:kinsoku/>
        <w:overflowPunct/>
        <w:autoSpaceDE/>
        <w:autoSpaceDN/>
        <w:bidi w:val="0"/>
        <w:textAlignment w:val="auto"/>
        <w:rPr>
          <w:rFonts w:hint="eastAsia" w:ascii="宋体" w:hAnsi="宋体" w:cs="宋体"/>
          <w:color w:val="auto"/>
          <w:sz w:val="24"/>
          <w:szCs w:val="24"/>
          <w:highlight w:val="none"/>
        </w:rPr>
      </w:pPr>
      <w:bookmarkStart w:id="1048" w:name="_Toc8216"/>
      <w:r>
        <w:rPr>
          <w:rFonts w:hint="eastAsia"/>
          <w:b/>
          <w:bCs/>
          <w:color w:val="auto"/>
          <w:highlight w:val="none"/>
          <w:lang w:val="en-US" w:eastAsia="zh-CN"/>
        </w:rPr>
        <w:t>★</w:t>
      </w:r>
      <w:r>
        <w:rPr>
          <w:rFonts w:hint="eastAsia" w:cs="宋体"/>
          <w:color w:val="auto"/>
          <w:sz w:val="24"/>
          <w:szCs w:val="24"/>
          <w:highlight w:val="none"/>
          <w:lang w:val="en-US" w:eastAsia="zh-CN"/>
        </w:rPr>
        <w:t>履约保证金</w:t>
      </w:r>
      <w:bookmarkEnd w:id="1048"/>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履约保证金为人民币</w:t>
      </w:r>
      <w:r>
        <w:rPr>
          <w:rFonts w:hint="eastAsia" w:cs="宋体"/>
          <w:color w:val="auto"/>
          <w:sz w:val="24"/>
          <w:szCs w:val="24"/>
          <w:highlight w:val="none"/>
          <w:lang w:val="en-US" w:eastAsia="zh-CN"/>
        </w:rPr>
        <w:t>8万元</w:t>
      </w:r>
      <w:r>
        <w:rPr>
          <w:rFonts w:hint="eastAsia" w:ascii="宋体" w:hAnsi="宋体" w:cs="宋体"/>
          <w:color w:val="auto"/>
          <w:sz w:val="24"/>
          <w:szCs w:val="24"/>
          <w:highlight w:val="none"/>
        </w:rPr>
        <w:t>(大写</w:t>
      </w:r>
      <w:r>
        <w:rPr>
          <w:rFonts w:hint="eastAsia" w:cs="宋体"/>
          <w:color w:val="auto"/>
          <w:sz w:val="24"/>
          <w:szCs w:val="24"/>
          <w:highlight w:val="none"/>
          <w:lang w:val="en-US" w:eastAsia="zh-CN"/>
        </w:rPr>
        <w:t>人民币</w:t>
      </w:r>
      <w:r>
        <w:rPr>
          <w:rFonts w:hint="eastAsia" w:ascii="宋体" w:hAnsi="宋体" w:cs="宋体"/>
          <w:color w:val="auto"/>
          <w:sz w:val="24"/>
          <w:szCs w:val="24"/>
          <w:highlight w:val="none"/>
          <w:lang w:val="en-US" w:eastAsia="zh-CN"/>
        </w:rPr>
        <w:t>捌万元</w:t>
      </w:r>
      <w:r>
        <w:rPr>
          <w:rFonts w:hint="eastAsia" w:ascii="宋体" w:hAnsi="宋体" w:cs="宋体"/>
          <w:color w:val="auto"/>
          <w:sz w:val="24"/>
          <w:szCs w:val="24"/>
          <w:highlight w:val="none"/>
        </w:rPr>
        <w:t>整)，</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应在中标通知书发出之日起至合同签订前以银行转账、支票、汇票、本票或者金融机构、担保机构出具的保函等非现金形式向采购人提交履约保证金。</w:t>
      </w:r>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合同服务期结束或体检服务中约定人次和项目完成</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个日历天内</w:t>
      </w:r>
      <w:r>
        <w:rPr>
          <w:rFonts w:hint="eastAsia" w:ascii="宋体" w:hAnsi="宋体" w:cs="宋体"/>
          <w:color w:val="auto"/>
          <w:sz w:val="24"/>
          <w:szCs w:val="24"/>
          <w:highlight w:val="none"/>
          <w:lang w:val="en-US" w:eastAsia="zh-CN"/>
        </w:rPr>
        <w:t>无息</w:t>
      </w:r>
      <w:r>
        <w:rPr>
          <w:rFonts w:hint="eastAsia" w:ascii="宋体" w:hAnsi="宋体" w:cs="宋体"/>
          <w:color w:val="auto"/>
          <w:sz w:val="24"/>
          <w:szCs w:val="24"/>
          <w:highlight w:val="none"/>
        </w:rPr>
        <w:t>退还</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应退部分履约保证金。因采购人原因逾期退还的，应当以未退还金额为基数，按合同订立时1年期贷款市场报价利率标准向</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支付相应违约金，但违约金最高不得超过未退还金额的百分之</w:t>
      </w:r>
      <w:r>
        <w:rPr>
          <w:rFonts w:hint="eastAsia" w:ascii="宋体" w:hAnsi="宋体" w:cs="宋体"/>
          <w:color w:val="auto"/>
          <w:sz w:val="24"/>
          <w:szCs w:val="24"/>
          <w:highlight w:val="none"/>
          <w:lang w:val="en-US" w:eastAsia="zh-CN"/>
        </w:rPr>
        <w:t>十</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若因投标人不及时或未提供</w:t>
      </w:r>
      <w:r>
        <w:rPr>
          <w:rFonts w:hint="eastAsia" w:ascii="宋体" w:hAnsi="宋体" w:cs="宋体"/>
          <w:color w:val="auto"/>
          <w:sz w:val="24"/>
          <w:szCs w:val="24"/>
          <w:highlight w:val="none"/>
          <w:lang w:val="zh-CN" w:eastAsia="zh-CN"/>
        </w:rPr>
        <w:t>“收到退还履约保证金的收据”、“履约保证金退还申请”</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lang w:val="zh-CN" w:eastAsia="zh-CN"/>
        </w:rPr>
        <w:t>，</w:t>
      </w:r>
      <w:r>
        <w:rPr>
          <w:rFonts w:hint="eastAsia" w:ascii="宋体" w:hAnsi="宋体" w:cs="宋体"/>
          <w:color w:val="auto"/>
          <w:sz w:val="24"/>
          <w:szCs w:val="24"/>
          <w:highlight w:val="none"/>
          <w:lang w:val="en-US" w:eastAsia="zh-CN"/>
        </w:rPr>
        <w:t>则</w:t>
      </w: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val="en-US" w:eastAsia="zh-CN"/>
        </w:rPr>
        <w:t>不承担</w:t>
      </w:r>
      <w:r>
        <w:rPr>
          <w:rFonts w:hint="eastAsia" w:ascii="宋体" w:hAnsi="宋体" w:cs="宋体"/>
          <w:color w:val="auto"/>
          <w:sz w:val="24"/>
          <w:szCs w:val="24"/>
          <w:highlight w:val="none"/>
          <w:lang w:val="zh-CN" w:eastAsia="zh-CN"/>
        </w:rPr>
        <w:t>逾期退还</w:t>
      </w:r>
      <w:r>
        <w:rPr>
          <w:rFonts w:hint="eastAsia" w:ascii="宋体" w:hAnsi="宋体" w:cs="宋体"/>
          <w:color w:val="auto"/>
          <w:sz w:val="24"/>
          <w:szCs w:val="24"/>
          <w:highlight w:val="none"/>
          <w:lang w:val="en-US" w:eastAsia="zh-CN"/>
        </w:rPr>
        <w:t>违约责任</w:t>
      </w:r>
      <w:r>
        <w:rPr>
          <w:rFonts w:hint="eastAsia" w:ascii="宋体" w:hAnsi="宋体" w:cs="宋体"/>
          <w:color w:val="auto"/>
          <w:sz w:val="24"/>
          <w:szCs w:val="24"/>
          <w:highlight w:val="none"/>
          <w:lang w:val="zh-CN" w:eastAsia="zh-CN"/>
        </w:rPr>
        <w:t>。</w:t>
      </w:r>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履约保证金汇入的银行及账号：</w:t>
      </w:r>
    </w:p>
    <w:p>
      <w:pPr>
        <w:pStyle w:val="33"/>
        <w:keepNext w:val="0"/>
        <w:keepLines w:val="0"/>
        <w:pageBreakBefore w:val="0"/>
        <w:widowControl w:val="0"/>
        <w:kinsoku/>
        <w:overflowPunct/>
        <w:autoSpaceDE/>
        <w:autoSpaceDN/>
        <w:bidi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收款账号：成都市技师学院</w:t>
      </w:r>
    </w:p>
    <w:p>
      <w:pPr>
        <w:pStyle w:val="33"/>
        <w:keepNext w:val="0"/>
        <w:keepLines w:val="0"/>
        <w:pageBreakBefore w:val="0"/>
        <w:widowControl w:val="0"/>
        <w:kinsoku/>
        <w:overflowPunct/>
        <w:autoSpaceDE/>
        <w:autoSpaceDN/>
        <w:bidi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开户行：工行四川成都分行郫都红光支行</w:t>
      </w:r>
    </w:p>
    <w:p>
      <w:pPr>
        <w:pStyle w:val="33"/>
        <w:keepNext w:val="0"/>
        <w:keepLines w:val="0"/>
        <w:pageBreakBefore w:val="0"/>
        <w:widowControl w:val="0"/>
        <w:kinsoku/>
        <w:overflowPunct/>
        <w:autoSpaceDE/>
        <w:autoSpaceDN/>
        <w:bidi w:val="0"/>
        <w:spacing w:line="440" w:lineRule="exact"/>
        <w:ind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银行账号：4402054609100031151</w:t>
      </w:r>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0" w:firstLineChars="200"/>
        <w:textAlignment w:val="auto"/>
        <w:outlineLvl w:val="9"/>
        <w:rPr>
          <w:rFonts w:hint="eastAsia" w:asciiTheme="minorEastAsia" w:hAnsiTheme="minorEastAsia" w:eastAsiaTheme="minorEastAsia" w:cstheme="minorEastAsia"/>
          <w:color w:val="auto"/>
          <w:kern w:val="0"/>
          <w:sz w:val="24"/>
          <w:szCs w:val="24"/>
          <w:highlight w:val="none"/>
          <w:lang w:val="en-US" w:eastAsia="zh-CN"/>
        </w:rPr>
      </w:pPr>
      <w:r>
        <w:rPr>
          <w:rFonts w:hint="eastAsia" w:ascii="宋体" w:hAnsi="宋体" w:cs="宋体"/>
          <w:color w:val="auto"/>
          <w:sz w:val="24"/>
          <w:szCs w:val="24"/>
          <w:highlight w:val="none"/>
        </w:rPr>
        <w:t>履约保证金不予退还情形</w:t>
      </w:r>
      <w:r>
        <w:rPr>
          <w:rFonts w:hint="eastAsia" w:cs="宋体"/>
          <w:color w:val="auto"/>
          <w:sz w:val="24"/>
          <w:szCs w:val="24"/>
          <w:highlight w:val="none"/>
          <w:lang w:eastAsia="zh-CN"/>
        </w:rPr>
        <w:t>：</w:t>
      </w:r>
      <w:r>
        <w:rPr>
          <w:rFonts w:hint="eastAsia" w:ascii="宋体" w:hAnsi="宋体" w:cs="宋体"/>
          <w:color w:val="auto"/>
          <w:sz w:val="24"/>
          <w:szCs w:val="24"/>
          <w:highlight w:val="none"/>
        </w:rPr>
        <w:t>一是</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未按合同要求履行的，其履约保证金全部扣除。二是</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缴纳了履约保证金，但因自身原因被取消</w:t>
      </w:r>
      <w:r>
        <w:rPr>
          <w:rFonts w:hint="eastAsia" w:cs="宋体"/>
          <w:color w:val="auto"/>
          <w:sz w:val="24"/>
          <w:szCs w:val="24"/>
          <w:highlight w:val="none"/>
          <w:lang w:val="en-US" w:eastAsia="zh-CN"/>
        </w:rPr>
        <w:t>中标</w:t>
      </w:r>
      <w:r>
        <w:rPr>
          <w:rFonts w:hint="eastAsia" w:ascii="宋体" w:hAnsi="宋体" w:cs="宋体"/>
          <w:color w:val="auto"/>
          <w:sz w:val="24"/>
          <w:szCs w:val="24"/>
          <w:highlight w:val="none"/>
        </w:rPr>
        <w:t>资格或在</w:t>
      </w:r>
      <w:r>
        <w:rPr>
          <w:rFonts w:hint="eastAsia" w:cs="宋体"/>
          <w:color w:val="auto"/>
          <w:sz w:val="24"/>
          <w:szCs w:val="24"/>
          <w:highlight w:val="none"/>
          <w:lang w:val="en-US" w:eastAsia="zh-CN"/>
        </w:rPr>
        <w:t>中标</w:t>
      </w:r>
      <w:r>
        <w:rPr>
          <w:rFonts w:hint="eastAsia" w:ascii="宋体" w:hAnsi="宋体" w:cs="宋体"/>
          <w:color w:val="auto"/>
          <w:sz w:val="24"/>
          <w:szCs w:val="24"/>
          <w:highlight w:val="none"/>
        </w:rPr>
        <w:t>公示期满之日起30个日历天(含法定节假日)内</w:t>
      </w:r>
      <w:r>
        <w:rPr>
          <w:rFonts w:hint="eastAsia" w:ascii="宋体" w:hAnsi="宋体" w:cs="宋体"/>
          <w:color w:val="auto"/>
          <w:sz w:val="24"/>
          <w:szCs w:val="24"/>
          <w:highlight w:val="none"/>
          <w:lang w:val="en-US" w:eastAsia="zh-CN"/>
        </w:rPr>
        <w:t>投标人</w:t>
      </w:r>
      <w:r>
        <w:rPr>
          <w:rFonts w:hint="eastAsia" w:ascii="宋体" w:hAnsi="宋体" w:cs="宋体"/>
          <w:color w:val="auto"/>
          <w:sz w:val="24"/>
          <w:szCs w:val="24"/>
          <w:highlight w:val="none"/>
        </w:rPr>
        <w:t>不按招标文件确定的事项与采购人签订合同的，其履约保证金不予退还。三是法律法规或合同约定的其他情形</w:t>
      </w:r>
      <w:r>
        <w:rPr>
          <w:rFonts w:hint="eastAsia" w:cs="宋体"/>
          <w:color w:val="auto"/>
          <w:sz w:val="24"/>
          <w:szCs w:val="24"/>
          <w:highlight w:val="none"/>
          <w:lang w:eastAsia="zh-CN"/>
        </w:rPr>
        <w:t>。</w:t>
      </w:r>
    </w:p>
    <w:p>
      <w:pPr>
        <w:pStyle w:val="24"/>
        <w:keepNext w:val="0"/>
        <w:keepLines w:val="0"/>
        <w:pageBreakBefore w:val="0"/>
        <w:widowControl w:val="0"/>
        <w:kinsoku/>
        <w:overflowPunct/>
        <w:autoSpaceDE/>
        <w:autoSpaceDN/>
        <w:bidi w:val="0"/>
        <w:textAlignment w:val="auto"/>
        <w:rPr>
          <w:rFonts w:hint="eastAsia" w:ascii="宋体" w:hAnsi="宋体" w:eastAsia="宋体" w:cstheme="minorBidi"/>
          <w:b/>
          <w:color w:val="auto"/>
          <w:kern w:val="2"/>
          <w:sz w:val="24"/>
          <w:szCs w:val="24"/>
          <w:highlight w:val="none"/>
          <w:lang w:val="en-US" w:eastAsia="zh-CN" w:bidi="ar-SA"/>
        </w:rPr>
      </w:pPr>
      <w:bookmarkStart w:id="1049" w:name="_Toc19419"/>
      <w:bookmarkStart w:id="1050" w:name="_Toc28938"/>
      <w:r>
        <w:rPr>
          <w:rFonts w:hint="eastAsia" w:ascii="宋体" w:hAnsi="宋体" w:eastAsia="宋体" w:cstheme="minorBidi"/>
          <w:b/>
          <w:color w:val="auto"/>
          <w:kern w:val="2"/>
          <w:sz w:val="24"/>
          <w:szCs w:val="24"/>
          <w:highlight w:val="none"/>
          <w:lang w:val="en-US" w:eastAsia="zh-CN" w:bidi="ar-SA"/>
        </w:rPr>
        <w:t>履约要求</w:t>
      </w:r>
      <w:bookmarkEnd w:id="1049"/>
      <w:bookmarkEnd w:id="1050"/>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bookmarkStart w:id="1051" w:name="_Toc16977"/>
      <w:r>
        <w:rPr>
          <w:rFonts w:hint="eastAsia" w:ascii="宋体" w:hAnsi="宋体" w:eastAsia="宋体" w:cstheme="minorBidi"/>
          <w:b/>
          <w:snapToGrid w:val="0"/>
          <w:color w:val="auto"/>
          <w:kern w:val="2"/>
          <w:sz w:val="24"/>
          <w:szCs w:val="24"/>
          <w:highlight w:val="none"/>
          <w:lang w:val="en-US" w:eastAsia="zh-CN" w:bidi="ar-SA"/>
        </w:rPr>
        <w:t>服务能力</w:t>
      </w:r>
      <w:bookmarkEnd w:id="1051"/>
    </w:p>
    <w:p>
      <w:pPr>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w:t>
      </w:r>
      <w:r>
        <w:rPr>
          <w:rFonts w:hint="eastAsia" w:ascii="宋体" w:hAnsi="宋体" w:cs="宋体"/>
          <w:color w:val="auto"/>
          <w:sz w:val="24"/>
          <w:szCs w:val="24"/>
          <w:highlight w:val="none"/>
        </w:rPr>
        <w:t>★</w:t>
      </w:r>
      <w:r>
        <w:rPr>
          <w:rFonts w:hint="eastAsia" w:asciiTheme="minorEastAsia" w:hAnsiTheme="minorEastAsia" w:eastAsiaTheme="minorEastAsia" w:cstheme="minorEastAsia"/>
          <w:color w:val="auto"/>
          <w:highlight w:val="none"/>
          <w:lang w:val="en-US" w:eastAsia="zh-CN"/>
        </w:rPr>
        <w:t>投标人针对本项目拟派的医生在妇科、超声科、内科、放射科中分别须有正高职称的医生1人，检验科须有主任技师职称的医生1人。</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2.投标人应具有</w:t>
      </w:r>
      <w:r>
        <w:rPr>
          <w:rFonts w:hint="eastAsia" w:cstheme="minorBidi"/>
          <w:color w:val="auto"/>
          <w:kern w:val="2"/>
          <w:sz w:val="24"/>
          <w:szCs w:val="24"/>
          <w:highlight w:val="none"/>
          <w:lang w:val="en-US" w:eastAsia="zh-CN" w:bidi="ar-SA"/>
        </w:rPr>
        <w:t>类似项目履约经验</w:t>
      </w:r>
      <w:r>
        <w:rPr>
          <w:rFonts w:hint="eastAsia" w:ascii="宋体" w:hAnsi="宋体" w:eastAsia="宋体" w:cstheme="minorBidi"/>
          <w:color w:val="auto"/>
          <w:kern w:val="2"/>
          <w:sz w:val="24"/>
          <w:szCs w:val="24"/>
          <w:highlight w:val="none"/>
          <w:lang w:val="en-US" w:eastAsia="zh-CN" w:bidi="ar-SA"/>
        </w:rPr>
        <w:t>。</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3.投标人针对本项目提供的设备至少包含彩超设备、DR设备、CT设备、核磁设备</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投标人具有智能采血、分拣系统</w:t>
      </w:r>
      <w:r>
        <w:rPr>
          <w:rFonts w:hint="eastAsia" w:cs="宋体"/>
          <w:color w:val="auto"/>
          <w:kern w:val="2"/>
          <w:sz w:val="24"/>
          <w:szCs w:val="24"/>
          <w:highlight w:val="none"/>
          <w:lang w:val="en-US" w:eastAsia="zh-CN" w:bidi="ar-SA"/>
        </w:rPr>
        <w:t>。</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w:t>
      </w:r>
      <w:r>
        <w:rPr>
          <w:rFonts w:hint="eastAsia" w:cs="宋体"/>
          <w:color w:val="auto"/>
          <w:kern w:val="2"/>
          <w:sz w:val="24"/>
          <w:szCs w:val="24"/>
          <w:highlight w:val="none"/>
          <w:lang w:val="en-US" w:eastAsia="zh-CN" w:bidi="ar-SA"/>
        </w:rPr>
        <w:t>具有</w:t>
      </w:r>
      <w:r>
        <w:rPr>
          <w:rFonts w:hint="eastAsia" w:ascii="宋体" w:hAnsi="宋体" w:eastAsia="宋体" w:cs="宋体"/>
          <w:color w:val="auto"/>
          <w:kern w:val="2"/>
          <w:sz w:val="24"/>
          <w:szCs w:val="24"/>
          <w:highlight w:val="none"/>
          <w:lang w:val="en-US" w:eastAsia="zh-CN" w:bidi="ar-SA"/>
        </w:rPr>
        <w:t>“健康体检医疗质量控制中心”</w:t>
      </w:r>
      <w:r>
        <w:rPr>
          <w:rFonts w:hint="eastAsia" w:cs="宋体"/>
          <w:color w:val="auto"/>
          <w:kern w:val="2"/>
          <w:sz w:val="24"/>
          <w:szCs w:val="24"/>
          <w:highlight w:val="none"/>
          <w:lang w:val="en-US" w:eastAsia="zh-CN" w:bidi="ar-SA"/>
        </w:rPr>
        <w:t>。</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5.投标人</w:t>
      </w:r>
      <w:r>
        <w:rPr>
          <w:rFonts w:hint="eastAsia" w:cs="宋体"/>
          <w:color w:val="auto"/>
          <w:kern w:val="2"/>
          <w:sz w:val="24"/>
          <w:szCs w:val="24"/>
          <w:highlight w:val="none"/>
          <w:lang w:val="en-US" w:eastAsia="zh-CN" w:bidi="ar-SA"/>
        </w:rPr>
        <w:t>或委托检验单位</w:t>
      </w:r>
      <w:r>
        <w:rPr>
          <w:rFonts w:hint="eastAsia" w:ascii="宋体" w:hAnsi="宋体" w:eastAsia="宋体" w:cs="宋体"/>
          <w:color w:val="auto"/>
          <w:kern w:val="2"/>
          <w:sz w:val="24"/>
          <w:szCs w:val="24"/>
          <w:highlight w:val="none"/>
          <w:lang w:val="en-US" w:eastAsia="zh-CN" w:bidi="ar-SA"/>
        </w:rPr>
        <w:t>取得卫生部临床检验中心全国尿液定量生化室间质评证书</w:t>
      </w:r>
      <w:r>
        <w:rPr>
          <w:rFonts w:hint="eastAsia" w:cs="宋体"/>
          <w:color w:val="auto"/>
          <w:kern w:val="2"/>
          <w:sz w:val="24"/>
          <w:szCs w:val="24"/>
          <w:highlight w:val="none"/>
          <w:lang w:val="en-US" w:eastAsia="zh-CN" w:bidi="ar-SA"/>
        </w:rPr>
        <w:t>。</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6.投标人</w:t>
      </w:r>
      <w:r>
        <w:rPr>
          <w:rFonts w:hint="eastAsia" w:cs="宋体"/>
          <w:color w:val="auto"/>
          <w:kern w:val="2"/>
          <w:sz w:val="24"/>
          <w:szCs w:val="24"/>
          <w:highlight w:val="none"/>
          <w:lang w:val="en-US" w:eastAsia="zh-CN" w:bidi="ar-SA"/>
        </w:rPr>
        <w:t>或委托检验单位</w:t>
      </w:r>
      <w:r>
        <w:rPr>
          <w:rFonts w:hint="eastAsia" w:ascii="宋体" w:hAnsi="宋体" w:eastAsia="宋体" w:cs="宋体"/>
          <w:color w:val="auto"/>
          <w:kern w:val="2"/>
          <w:sz w:val="24"/>
          <w:szCs w:val="24"/>
          <w:highlight w:val="none"/>
          <w:lang w:val="en-US" w:eastAsia="zh-CN" w:bidi="ar-SA"/>
        </w:rPr>
        <w:t>取得卫生部临床检验中心全国脂类室间质评证书</w:t>
      </w:r>
      <w:r>
        <w:rPr>
          <w:rFonts w:hint="eastAsia" w:cs="宋体"/>
          <w:color w:val="auto"/>
          <w:kern w:val="2"/>
          <w:sz w:val="24"/>
          <w:szCs w:val="24"/>
          <w:highlight w:val="none"/>
          <w:lang w:val="en-US" w:eastAsia="zh-CN" w:bidi="ar-SA"/>
        </w:rPr>
        <w:t>。</w:t>
      </w:r>
    </w:p>
    <w:p>
      <w:pPr>
        <w:keepNext w:val="0"/>
        <w:keepLines w:val="0"/>
        <w:pageBreakBefore w:val="0"/>
        <w:widowControl w:val="0"/>
        <w:numPr>
          <w:ilvl w:val="4"/>
          <w:numId w:val="0"/>
        </w:numPr>
        <w:kinsoku/>
        <w:wordWrap w:val="0"/>
        <w:overflowPunct/>
        <w:topLinePunct/>
        <w:autoSpaceDE/>
        <w:autoSpaceDN/>
        <w:bidi w:val="0"/>
        <w:adjustRightInd w:val="0"/>
        <w:snapToGrid w:val="0"/>
        <w:spacing w:line="440" w:lineRule="exact"/>
        <w:ind w:leftChars="0" w:firstLine="480"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7.投标人</w:t>
      </w:r>
      <w:r>
        <w:rPr>
          <w:rFonts w:hint="eastAsia" w:cs="宋体"/>
          <w:color w:val="auto"/>
          <w:kern w:val="2"/>
          <w:sz w:val="24"/>
          <w:szCs w:val="24"/>
          <w:highlight w:val="none"/>
          <w:lang w:val="en-US" w:eastAsia="zh-CN" w:bidi="ar-SA"/>
        </w:rPr>
        <w:t>或委托检验单位</w:t>
      </w:r>
      <w:r>
        <w:rPr>
          <w:rFonts w:hint="eastAsia" w:ascii="宋体" w:hAnsi="宋体" w:eastAsia="宋体" w:cs="宋体"/>
          <w:color w:val="auto"/>
          <w:kern w:val="2"/>
          <w:sz w:val="24"/>
          <w:szCs w:val="24"/>
          <w:highlight w:val="none"/>
          <w:lang w:val="en-US" w:eastAsia="zh-CN" w:bidi="ar-SA"/>
        </w:rPr>
        <w:t>取得卫生部临床检验中心全国肿瘤标志物室间质评证书</w:t>
      </w:r>
      <w:r>
        <w:rPr>
          <w:rFonts w:hint="eastAsia" w:cs="宋体"/>
          <w:color w:val="auto"/>
          <w:kern w:val="2"/>
          <w:sz w:val="24"/>
          <w:szCs w:val="24"/>
          <w:highlight w:val="none"/>
          <w:lang w:val="en-US" w:eastAsia="zh-CN" w:bidi="ar-SA"/>
        </w:rPr>
        <w:t>。</w:t>
      </w:r>
    </w:p>
    <w:p>
      <w:pPr>
        <w:keepNext w:val="0"/>
        <w:keepLines w:val="0"/>
        <w:pageBreakBefore w:val="0"/>
        <w:widowControl w:val="0"/>
        <w:numPr>
          <w:ilvl w:val="2"/>
          <w:numId w:val="2"/>
        </w:numPr>
        <w:kinsoku/>
        <w:wordWrap w:val="0"/>
        <w:overflowPunct/>
        <w:topLinePunct/>
        <w:autoSpaceDE/>
        <w:autoSpaceDN/>
        <w:bidi w:val="0"/>
        <w:adjustRightInd w:val="0"/>
        <w:snapToGrid w:val="0"/>
        <w:spacing w:line="440" w:lineRule="exact"/>
        <w:ind w:firstLine="482" w:firstLineChars="200"/>
        <w:textAlignment w:val="auto"/>
        <w:outlineLvl w:val="9"/>
        <w:rPr>
          <w:rFonts w:hint="eastAsia" w:ascii="宋体" w:hAnsi="宋体" w:eastAsia="宋体" w:cstheme="minorBidi"/>
          <w:b/>
          <w:snapToGrid w:val="0"/>
          <w:color w:val="auto"/>
          <w:kern w:val="2"/>
          <w:sz w:val="24"/>
          <w:szCs w:val="24"/>
          <w:highlight w:val="none"/>
          <w:lang w:val="en-US" w:eastAsia="zh-CN" w:bidi="ar-SA"/>
        </w:rPr>
      </w:pPr>
      <w:bookmarkStart w:id="1052" w:name="_Toc24804"/>
      <w:r>
        <w:rPr>
          <w:rFonts w:hint="eastAsia" w:ascii="宋体" w:hAnsi="宋体" w:eastAsia="宋体" w:cstheme="minorBidi"/>
          <w:b/>
          <w:snapToGrid w:val="0"/>
          <w:color w:val="auto"/>
          <w:kern w:val="2"/>
          <w:sz w:val="24"/>
          <w:szCs w:val="24"/>
          <w:highlight w:val="none"/>
          <w:lang w:val="en-US" w:eastAsia="zh-CN" w:bidi="ar-SA"/>
        </w:rPr>
        <w:t>服务方案</w:t>
      </w:r>
      <w:bookmarkEnd w:id="1052"/>
    </w:p>
    <w:p>
      <w:pPr>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1.体检服务方案：包含但不限于①体检前的服务内容及安排；②体检中的服务内容及安排；③体检后的服务内容及安排；④体检场地安排等。</w:t>
      </w:r>
    </w:p>
    <w:p>
      <w:pPr>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2.治疗服务：包含但不限于①提供就医绿色通道安排；②复检方案；③挂号方案；④办理住院方案；⑤专家会诊方案等。</w:t>
      </w:r>
    </w:p>
    <w:p>
      <w:pPr>
        <w:keepNext w:val="0"/>
        <w:keepLines w:val="0"/>
        <w:pageBreakBefore w:val="0"/>
        <w:widowControl w:val="0"/>
        <w:kinsoku/>
        <w:overflowPunct/>
        <w:autoSpaceDE/>
        <w:autoSpaceDN/>
        <w:bidi w:val="0"/>
        <w:adjustRightInd w:val="0"/>
        <w:snapToGrid w:val="0"/>
        <w:ind w:leftChars="0" w:firstLine="480" w:firstLineChars="200"/>
        <w:jc w:val="left"/>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3.质控保障方案：包含但不限于①质控管理机构；②质控岗位职责划分；③质控手段；④质控目标；⑤质控范围等。</w:t>
      </w:r>
    </w:p>
    <w:p>
      <w:pPr>
        <w:keepNext w:val="0"/>
        <w:keepLines w:val="0"/>
        <w:pageBreakBefore w:val="0"/>
        <w:widowControl w:val="0"/>
        <w:kinsoku/>
        <w:wordWrap w:val="0"/>
        <w:overflowPunct/>
        <w:topLinePunct/>
        <w:autoSpaceDE/>
        <w:autoSpaceDN/>
        <w:bidi w:val="0"/>
        <w:adjustRightInd w:val="0"/>
        <w:snapToGrid w:val="0"/>
        <w:spacing w:line="440" w:lineRule="exact"/>
        <w:ind w:leftChars="0" w:firstLine="482" w:firstLineChars="200"/>
        <w:textAlignment w:val="auto"/>
        <w:rPr>
          <w:rFonts w:hint="eastAsia" w:ascii="宋体" w:hAnsi="宋体" w:eastAsia="宋体" w:cstheme="minorBidi"/>
          <w:b/>
          <w:snapToGrid w:val="0"/>
          <w:color w:val="auto"/>
          <w:kern w:val="2"/>
          <w:sz w:val="24"/>
          <w:szCs w:val="24"/>
          <w:highlight w:val="none"/>
          <w:lang w:val="en-US" w:eastAsia="zh-CN" w:bidi="ar-SA"/>
        </w:rPr>
      </w:pPr>
      <w:r>
        <w:rPr>
          <w:rFonts w:hint="eastAsia" w:ascii="宋体" w:hAnsi="宋体" w:eastAsia="宋体" w:cstheme="minorBidi"/>
          <w:b/>
          <w:snapToGrid w:val="0"/>
          <w:color w:val="auto"/>
          <w:kern w:val="2"/>
          <w:sz w:val="24"/>
          <w:szCs w:val="24"/>
          <w:highlight w:val="none"/>
          <w:lang w:val="en-US" w:eastAsia="zh-CN" w:bidi="ar-SA"/>
        </w:rPr>
        <w:t>注：</w:t>
      </w:r>
      <w:r>
        <w:rPr>
          <w:rFonts w:hint="default" w:ascii="宋体" w:hAnsi="宋体" w:eastAsia="宋体" w:cstheme="minorBidi"/>
          <w:b/>
          <w:snapToGrid w:val="0"/>
          <w:color w:val="auto"/>
          <w:kern w:val="2"/>
          <w:sz w:val="24"/>
          <w:szCs w:val="24"/>
          <w:highlight w:val="none"/>
          <w:lang w:val="en-US" w:eastAsia="zh-CN" w:bidi="ar-SA"/>
        </w:rPr>
        <w:t>①</w:t>
      </w:r>
      <w:r>
        <w:rPr>
          <w:rFonts w:hint="eastAsia" w:ascii="宋体" w:hAnsi="宋体" w:eastAsia="宋体" w:cstheme="minorBidi"/>
          <w:b/>
          <w:snapToGrid w:val="0"/>
          <w:color w:val="auto"/>
          <w:kern w:val="2"/>
          <w:sz w:val="24"/>
          <w:szCs w:val="24"/>
          <w:highlight w:val="none"/>
          <w:lang w:val="en-US" w:eastAsia="zh-CN" w:bidi="ar-SA"/>
        </w:rPr>
        <w:t>供应商应当根据本项目实际情况提供真实、客观的证明材料。</w:t>
      </w:r>
    </w:p>
    <w:p>
      <w:pPr>
        <w:keepNext w:val="0"/>
        <w:keepLines w:val="0"/>
        <w:pageBreakBefore w:val="0"/>
        <w:widowControl w:val="0"/>
        <w:kinsoku/>
        <w:wordWrap w:val="0"/>
        <w:overflowPunct/>
        <w:topLinePunct/>
        <w:autoSpaceDE/>
        <w:autoSpaceDN/>
        <w:bidi w:val="0"/>
        <w:adjustRightInd w:val="0"/>
        <w:snapToGrid w:val="0"/>
        <w:spacing w:line="440" w:lineRule="exact"/>
        <w:ind w:leftChars="0" w:firstLine="482" w:firstLineChars="200"/>
        <w:textAlignment w:val="auto"/>
        <w:rPr>
          <w:rFonts w:hint="eastAsia" w:ascii="宋体" w:hAnsi="宋体" w:eastAsia="宋体" w:cstheme="minorBidi"/>
          <w:b/>
          <w:snapToGrid w:val="0"/>
          <w:color w:val="auto"/>
          <w:kern w:val="2"/>
          <w:sz w:val="24"/>
          <w:szCs w:val="24"/>
          <w:highlight w:val="none"/>
          <w:lang w:val="en-US" w:eastAsia="zh-CN" w:bidi="ar-SA"/>
        </w:rPr>
      </w:pPr>
      <w:r>
        <w:rPr>
          <w:rFonts w:hint="default" w:ascii="宋体" w:hAnsi="宋体" w:eastAsia="宋体" w:cstheme="minorBidi"/>
          <w:b/>
          <w:snapToGrid w:val="0"/>
          <w:color w:val="auto"/>
          <w:kern w:val="2"/>
          <w:sz w:val="24"/>
          <w:szCs w:val="24"/>
          <w:highlight w:val="none"/>
          <w:lang w:val="en-US" w:eastAsia="zh-CN" w:bidi="ar-SA"/>
        </w:rPr>
        <w:t>②</w:t>
      </w:r>
      <w:r>
        <w:rPr>
          <w:rFonts w:hint="eastAsia" w:ascii="宋体" w:hAnsi="宋体" w:eastAsia="宋体" w:cstheme="minorBidi"/>
          <w:b/>
          <w:snapToGrid w:val="0"/>
          <w:color w:val="auto"/>
          <w:kern w:val="2"/>
          <w:sz w:val="24"/>
          <w:szCs w:val="24"/>
          <w:highlight w:val="none"/>
          <w:lang w:val="en-US" w:eastAsia="zh-CN" w:bidi="ar-SA"/>
        </w:rPr>
        <w:t>供应商应当保证所提交的所有材料的真实性，若提交虚假材料谋取中标的，将按照政府采购相关法律法规依法处理。</w:t>
      </w:r>
    </w:p>
    <w:p>
      <w:pPr>
        <w:keepNext w:val="0"/>
        <w:keepLines w:val="0"/>
        <w:pageBreakBefore w:val="0"/>
        <w:widowControl w:val="0"/>
        <w:kinsoku/>
        <w:wordWrap w:val="0"/>
        <w:overflowPunct/>
        <w:topLinePunct/>
        <w:autoSpaceDE/>
        <w:autoSpaceDN/>
        <w:bidi w:val="0"/>
        <w:adjustRightInd w:val="0"/>
        <w:snapToGrid w:val="0"/>
        <w:spacing w:line="440" w:lineRule="exact"/>
        <w:ind w:leftChars="0" w:firstLine="482" w:firstLineChars="200"/>
        <w:textAlignment w:val="auto"/>
        <w:rPr>
          <w:rFonts w:hint="eastAsia" w:ascii="宋体" w:hAnsi="宋体" w:eastAsia="宋体" w:cstheme="minorBidi"/>
          <w:b/>
          <w:snapToGrid w:val="0"/>
          <w:color w:val="auto"/>
          <w:kern w:val="2"/>
          <w:sz w:val="24"/>
          <w:szCs w:val="24"/>
          <w:highlight w:val="none"/>
          <w:lang w:val="en-US" w:eastAsia="zh-CN" w:bidi="ar-SA"/>
        </w:rPr>
      </w:pPr>
      <w:r>
        <w:rPr>
          <w:rFonts w:hint="default" w:ascii="宋体" w:hAnsi="宋体" w:eastAsia="宋体" w:cstheme="minorBidi"/>
          <w:b/>
          <w:snapToGrid w:val="0"/>
          <w:color w:val="auto"/>
          <w:kern w:val="2"/>
          <w:sz w:val="24"/>
          <w:szCs w:val="24"/>
          <w:highlight w:val="none"/>
          <w:lang w:val="en-US" w:eastAsia="zh-CN" w:bidi="ar-SA"/>
        </w:rPr>
        <w:t>③</w:t>
      </w:r>
      <w:r>
        <w:rPr>
          <w:rFonts w:hint="eastAsia" w:ascii="宋体" w:hAnsi="宋体" w:eastAsia="宋体" w:cstheme="minorBidi"/>
          <w:b/>
          <w:snapToGrid w:val="0"/>
          <w:color w:val="auto"/>
          <w:kern w:val="2"/>
          <w:sz w:val="24"/>
          <w:szCs w:val="24"/>
          <w:highlight w:val="none"/>
          <w:lang w:val="en-US" w:eastAsia="zh-CN" w:bidi="ar-SA"/>
        </w:rPr>
        <w:t>投标人根据项目的实际需求和具体情况实事求是地编制文件，能具体量化，具有可行性及便于监督考核，不得违反法律、法规规定，不得夸大其词和空口许诺。</w:t>
      </w:r>
    </w:p>
    <w:p>
      <w:pPr>
        <w:pStyle w:val="49"/>
        <w:keepNext w:val="0"/>
        <w:keepLines w:val="0"/>
        <w:pageBreakBefore w:val="0"/>
        <w:widowControl w:val="0"/>
        <w:kinsoku/>
        <w:overflowPunct/>
        <w:autoSpaceDE/>
        <w:autoSpaceDN/>
        <w:bidi w:val="0"/>
        <w:textAlignment w:val="auto"/>
        <w:rPr>
          <w:rFonts w:hint="eastAsia" w:ascii="宋体" w:hAnsi="宋体" w:eastAsia="宋体"/>
          <w:color w:val="auto"/>
          <w:highlight w:val="none"/>
          <w:lang w:val="en-US" w:eastAsia="zh-CN"/>
        </w:rPr>
      </w:pPr>
    </w:p>
    <w:p>
      <w:pPr>
        <w:pStyle w:val="49"/>
        <w:keepNext w:val="0"/>
        <w:keepLines w:val="0"/>
        <w:pageBreakBefore w:val="0"/>
        <w:widowControl w:val="0"/>
        <w:kinsoku/>
        <w:overflowPunct/>
        <w:autoSpaceDE/>
        <w:autoSpaceDN/>
        <w:bidi w:val="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注意：本章带“</w:t>
      </w:r>
      <w:r>
        <w:rPr>
          <w:rFonts w:hint="eastAsia"/>
          <w:color w:val="auto"/>
          <w:highlight w:val="none"/>
          <w:lang w:val="en-US" w:eastAsia="zh-CN"/>
        </w:rPr>
        <w:t>★</w:t>
      </w:r>
      <w:r>
        <w:rPr>
          <w:rFonts w:hint="eastAsia" w:ascii="宋体" w:hAnsi="宋体" w:eastAsia="宋体"/>
          <w:color w:val="auto"/>
          <w:highlight w:val="none"/>
          <w:lang w:val="en-US" w:eastAsia="zh-CN"/>
        </w:rPr>
        <w:t>”号条款为实质性要求，投标人若未满足的，将被视为无效投标。</w:t>
      </w:r>
    </w:p>
    <w:p>
      <w:pPr>
        <w:pStyle w:val="49"/>
        <w:bidi w:val="0"/>
        <w:rPr>
          <w:rFonts w:hint="eastAsia"/>
          <w:color w:val="auto"/>
          <w:highlight w:val="none"/>
        </w:rPr>
      </w:pPr>
      <w:r>
        <w:rPr>
          <w:rFonts w:hint="eastAsia"/>
          <w:color w:val="auto"/>
          <w:highlight w:val="none"/>
        </w:rPr>
        <w:br w:type="page"/>
      </w:r>
    </w:p>
    <w:bookmarkEnd w:id="1013"/>
    <w:bookmarkEnd w:id="1014"/>
    <w:bookmarkEnd w:id="1015"/>
    <w:p>
      <w:pPr>
        <w:pStyle w:val="25"/>
        <w:numPr>
          <w:ilvl w:val="0"/>
          <w:numId w:val="12"/>
        </w:numPr>
        <w:bidi w:val="0"/>
        <w:rPr>
          <w:rFonts w:hint="eastAsia"/>
          <w:color w:val="auto"/>
          <w:highlight w:val="none"/>
        </w:rPr>
      </w:pPr>
      <w:bookmarkStart w:id="1053" w:name="_Toc10570"/>
      <w:bookmarkStart w:id="1054" w:name="_Toc4725"/>
      <w:bookmarkStart w:id="1055" w:name="_Toc32447"/>
      <w:bookmarkStart w:id="1056" w:name="_Toc308188198"/>
      <w:bookmarkStart w:id="1057" w:name="_Toc308084645"/>
      <w:bookmarkStart w:id="1058" w:name="_Toc3881"/>
      <w:bookmarkStart w:id="1059" w:name="_Toc307564896"/>
      <w:bookmarkStart w:id="1060" w:name="_Toc21302"/>
      <w:bookmarkStart w:id="1061" w:name="_Toc26923"/>
      <w:bookmarkStart w:id="1062" w:name="_Toc2232"/>
      <w:bookmarkStart w:id="1063" w:name="_Toc307501154"/>
      <w:bookmarkStart w:id="1064" w:name="_Toc11039"/>
      <w:bookmarkStart w:id="1065" w:name="_Toc319439946"/>
      <w:bookmarkStart w:id="1066" w:name="_Toc319440188"/>
      <w:bookmarkStart w:id="1067" w:name="_Toc1543"/>
      <w:bookmarkStart w:id="1068" w:name="_Toc309897563"/>
      <w:bookmarkStart w:id="1069" w:name="_Toc183682415"/>
      <w:bookmarkStart w:id="1070" w:name="_Toc25959"/>
      <w:bookmarkStart w:id="1071" w:name="_Toc25435"/>
      <w:bookmarkStart w:id="1072" w:name="_Toc4553"/>
      <w:bookmarkStart w:id="1073" w:name="_Toc327196339"/>
      <w:bookmarkStart w:id="1074" w:name="_Toc183582280"/>
      <w:bookmarkStart w:id="1075" w:name="_Toc208849007"/>
      <w:bookmarkStart w:id="1076" w:name="_Toc483"/>
      <w:bookmarkStart w:id="1077" w:name="_Toc217446097"/>
      <w:r>
        <w:rPr>
          <w:rFonts w:hint="eastAsia"/>
          <w:color w:val="auto"/>
          <w:highlight w:val="none"/>
        </w:rPr>
        <w:t>评标办法</w:t>
      </w:r>
      <w:bookmarkEnd w:id="1053"/>
      <w:bookmarkEnd w:id="1054"/>
      <w:bookmarkEnd w:id="1055"/>
      <w:bookmarkStart w:id="1078" w:name="_Hlt101846155"/>
      <w:bookmarkEnd w:id="1078"/>
    </w:p>
    <w:p>
      <w:pPr>
        <w:pStyle w:val="24"/>
        <w:numPr>
          <w:ilvl w:val="1"/>
          <w:numId w:val="12"/>
        </w:numPr>
        <w:bidi w:val="0"/>
        <w:rPr>
          <w:rFonts w:hint="eastAsia"/>
          <w:color w:val="auto"/>
          <w:highlight w:val="none"/>
        </w:rPr>
      </w:pPr>
      <w:bookmarkStart w:id="1079" w:name="_Toc16563"/>
      <w:bookmarkStart w:id="1080" w:name="_Toc29087"/>
      <w:r>
        <w:rPr>
          <w:rFonts w:hint="eastAsia"/>
          <w:color w:val="auto"/>
          <w:highlight w:val="none"/>
        </w:rPr>
        <w:t>总则</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9"/>
      <w:bookmarkEnd w:id="1080"/>
    </w:p>
    <w:p>
      <w:pPr>
        <w:pStyle w:val="37"/>
        <w:numPr>
          <w:ilvl w:val="1"/>
          <w:numId w:val="29"/>
        </w:numPr>
        <w:bidi w:val="0"/>
        <w:rPr>
          <w:rFonts w:hint="eastAsia"/>
          <w:color w:val="auto"/>
          <w:highlight w:val="none"/>
        </w:rPr>
      </w:pPr>
      <w:r>
        <w:rPr>
          <w:rFonts w:hint="eastAsia"/>
          <w:color w:val="auto"/>
          <w:highlight w:val="none"/>
        </w:rPr>
        <w:t>根据《中华人民共和国政府采购法》、《中华人民共和国政府采购法实施条例》和《政府采购货物和服务招标投标管理办法》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等法律规章，结合采购项目特点制定本评标办法。</w:t>
      </w:r>
    </w:p>
    <w:p>
      <w:pPr>
        <w:pStyle w:val="37"/>
        <w:numPr>
          <w:ilvl w:val="1"/>
          <w:numId w:val="29"/>
        </w:numPr>
        <w:bidi w:val="0"/>
        <w:rPr>
          <w:rFonts w:hint="eastAsia"/>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7"/>
        <w:numPr>
          <w:ilvl w:val="1"/>
          <w:numId w:val="29"/>
        </w:numPr>
        <w:bidi w:val="0"/>
        <w:rPr>
          <w:rFonts w:hint="eastAsia"/>
          <w:color w:val="auto"/>
          <w:highlight w:val="none"/>
        </w:rPr>
      </w:pPr>
      <w:r>
        <w:rPr>
          <w:rFonts w:hint="eastAsia"/>
          <w:color w:val="auto"/>
          <w:highlight w:val="none"/>
        </w:rPr>
        <w:t>评标工作应遵循公平、公正、科学及择优的原则，并以相同的评标程序和标准对待所有的投标人。</w:t>
      </w:r>
    </w:p>
    <w:p>
      <w:pPr>
        <w:pStyle w:val="37"/>
        <w:numPr>
          <w:ilvl w:val="1"/>
          <w:numId w:val="29"/>
        </w:numPr>
        <w:bidi w:val="0"/>
        <w:rPr>
          <w:rFonts w:hint="eastAsia"/>
          <w:color w:val="auto"/>
          <w:highlight w:val="none"/>
        </w:rPr>
      </w:pPr>
      <w:r>
        <w:rPr>
          <w:rFonts w:hint="eastAsia"/>
          <w:color w:val="auto"/>
          <w:highlight w:val="none"/>
        </w:rPr>
        <w:t>评标委员会按照招标文件规定的评标方法和标准进行评标，并独立履行下列职责：</w:t>
      </w:r>
    </w:p>
    <w:p>
      <w:pPr>
        <w:pStyle w:val="39"/>
        <w:bidi w:val="0"/>
        <w:rPr>
          <w:rFonts w:hint="eastAsia"/>
          <w:color w:val="auto"/>
          <w:highlight w:val="none"/>
        </w:rPr>
      </w:pPr>
      <w:bookmarkStart w:id="1081" w:name="_Toc217446098"/>
      <w:r>
        <w:rPr>
          <w:rFonts w:hint="eastAsia"/>
          <w:color w:val="auto"/>
          <w:highlight w:val="none"/>
        </w:rPr>
        <w:t>审查、评价投标文件是否符合招标文件的商务、技术等实质性要求；</w:t>
      </w:r>
    </w:p>
    <w:p>
      <w:pPr>
        <w:pStyle w:val="39"/>
        <w:bidi w:val="0"/>
        <w:rPr>
          <w:rFonts w:hint="eastAsia"/>
          <w:color w:val="auto"/>
          <w:highlight w:val="none"/>
        </w:rPr>
      </w:pPr>
      <w:r>
        <w:rPr>
          <w:rFonts w:hint="eastAsia"/>
          <w:color w:val="auto"/>
          <w:highlight w:val="none"/>
        </w:rPr>
        <w:t>要求投标人对投标文件有关事项作出澄清或者说明；</w:t>
      </w:r>
    </w:p>
    <w:p>
      <w:pPr>
        <w:pStyle w:val="39"/>
        <w:bidi w:val="0"/>
        <w:rPr>
          <w:rFonts w:hint="eastAsia"/>
          <w:color w:val="auto"/>
          <w:highlight w:val="none"/>
        </w:rPr>
      </w:pPr>
      <w:r>
        <w:rPr>
          <w:rFonts w:hint="eastAsia"/>
          <w:color w:val="auto"/>
          <w:highlight w:val="none"/>
        </w:rPr>
        <w:t>对投标文件进行比较和评价；</w:t>
      </w:r>
    </w:p>
    <w:p>
      <w:pPr>
        <w:pStyle w:val="39"/>
        <w:bidi w:val="0"/>
        <w:rPr>
          <w:rFonts w:hint="eastAsia"/>
          <w:color w:val="auto"/>
          <w:highlight w:val="none"/>
        </w:rPr>
      </w:pPr>
      <w:r>
        <w:rPr>
          <w:rFonts w:hint="eastAsia"/>
          <w:color w:val="auto"/>
          <w:highlight w:val="none"/>
        </w:rPr>
        <w:t>确定中标候选人名单；</w:t>
      </w:r>
    </w:p>
    <w:p>
      <w:pPr>
        <w:pStyle w:val="39"/>
        <w:bidi w:val="0"/>
        <w:rPr>
          <w:rFonts w:hint="eastAsia"/>
          <w:color w:val="auto"/>
          <w:highlight w:val="none"/>
        </w:rPr>
      </w:pPr>
      <w:r>
        <w:rPr>
          <w:rFonts w:hint="eastAsia"/>
          <w:color w:val="auto"/>
          <w:highlight w:val="none"/>
        </w:rPr>
        <w:t>向采购人、采购代理机构或者有关部门报告评标中发现的违法行为。</w:t>
      </w:r>
    </w:p>
    <w:p>
      <w:pPr>
        <w:pStyle w:val="37"/>
        <w:bidi w:val="0"/>
        <w:rPr>
          <w:rFonts w:hint="eastAsia"/>
          <w:color w:val="auto"/>
          <w:highlight w:val="none"/>
        </w:rPr>
      </w:pPr>
      <w:r>
        <w:rPr>
          <w:rFonts w:hint="eastAsia"/>
          <w:color w:val="auto"/>
          <w:highlight w:val="none"/>
        </w:rPr>
        <w:t>评标过程独立、保密。投标人非法干预评标过程的行为将导致其投标文件作为无效处理。</w:t>
      </w:r>
    </w:p>
    <w:p>
      <w:pPr>
        <w:pStyle w:val="37"/>
        <w:bidi w:val="0"/>
        <w:rPr>
          <w:rFonts w:hint="eastAsia"/>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7"/>
        <w:bidi w:val="0"/>
        <w:rPr>
          <w:rFonts w:hint="eastAsia"/>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w:t>
      </w:r>
      <w:r>
        <w:rPr>
          <w:rFonts w:hint="eastAsia"/>
          <w:color w:val="auto"/>
          <w:highlight w:val="none"/>
          <w:lang w:eastAsia="zh-CN"/>
        </w:rPr>
        <w:t>(</w:t>
      </w:r>
      <w:r>
        <w:rPr>
          <w:rFonts w:hint="eastAsia"/>
          <w:color w:val="auto"/>
          <w:highlight w:val="none"/>
          <w:lang w:val="en-US" w:eastAsia="zh-CN"/>
        </w:rPr>
        <w:t>注明法律法规依据)</w:t>
      </w:r>
      <w:r>
        <w:rPr>
          <w:rFonts w:hint="eastAsia"/>
          <w:color w:val="auto"/>
          <w:highlight w:val="none"/>
        </w:rPr>
        <w:t>。</w:t>
      </w:r>
    </w:p>
    <w:p>
      <w:pPr>
        <w:pStyle w:val="24"/>
        <w:numPr>
          <w:ilvl w:val="1"/>
          <w:numId w:val="12"/>
        </w:numPr>
        <w:bidi w:val="0"/>
        <w:rPr>
          <w:rFonts w:hint="eastAsia"/>
          <w:color w:val="auto"/>
          <w:highlight w:val="none"/>
        </w:rPr>
      </w:pPr>
      <w:bookmarkStart w:id="1082" w:name="_Toc26792"/>
      <w:bookmarkStart w:id="1083" w:name="_Toc12975"/>
      <w:bookmarkStart w:id="1084" w:name="_Toc25612"/>
      <w:bookmarkStart w:id="1085" w:name="_Toc23669"/>
      <w:bookmarkStart w:id="1086" w:name="_Toc14100"/>
      <w:bookmarkStart w:id="1087" w:name="_Toc3371"/>
      <w:bookmarkStart w:id="1088" w:name="_Toc319440189"/>
      <w:bookmarkStart w:id="1089" w:name="_Toc3915"/>
      <w:bookmarkStart w:id="1090" w:name="_Toc18772"/>
      <w:bookmarkStart w:id="1091" w:name="_Toc5152"/>
      <w:bookmarkStart w:id="1092" w:name="_Toc8496"/>
      <w:bookmarkStart w:id="1093" w:name="_Toc10398"/>
      <w:bookmarkStart w:id="1094" w:name="_Toc327196340"/>
      <w:bookmarkStart w:id="1095" w:name="_Toc5338"/>
      <w:r>
        <w:rPr>
          <w:rFonts w:hint="eastAsia"/>
          <w:color w:val="auto"/>
          <w:highlight w:val="none"/>
        </w:rPr>
        <w:t>评标方法</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29"/>
        <w:bidi w:val="0"/>
        <w:rPr>
          <w:rFonts w:hint="eastAsia"/>
          <w:color w:val="auto"/>
          <w:highlight w:val="none"/>
        </w:rPr>
      </w:pPr>
      <w:r>
        <w:rPr>
          <w:rFonts w:hint="eastAsia"/>
          <w:color w:val="auto"/>
          <w:highlight w:val="none"/>
        </w:rPr>
        <w:t>本项目评标方法为：综合评分法。</w:t>
      </w:r>
    </w:p>
    <w:p>
      <w:pPr>
        <w:pStyle w:val="24"/>
        <w:numPr>
          <w:ilvl w:val="1"/>
          <w:numId w:val="12"/>
        </w:numPr>
        <w:bidi w:val="0"/>
        <w:rPr>
          <w:rFonts w:hint="eastAsia"/>
          <w:color w:val="auto"/>
          <w:highlight w:val="none"/>
        </w:rPr>
      </w:pPr>
      <w:bookmarkStart w:id="1096" w:name="_Toc7390"/>
      <w:bookmarkStart w:id="1097" w:name="_Toc12883"/>
      <w:bookmarkStart w:id="1098" w:name="_Toc327196341"/>
      <w:bookmarkStart w:id="1099" w:name="_Toc31119"/>
      <w:bookmarkStart w:id="1100" w:name="_Toc23322"/>
      <w:bookmarkStart w:id="1101" w:name="_Toc319440190"/>
      <w:bookmarkStart w:id="1102" w:name="_Toc9969"/>
      <w:bookmarkStart w:id="1103" w:name="_Toc17613"/>
      <w:bookmarkStart w:id="1104" w:name="_Toc19196"/>
      <w:bookmarkStart w:id="1105" w:name="_Toc5906"/>
      <w:bookmarkStart w:id="1106" w:name="_Toc25671"/>
      <w:bookmarkStart w:id="1107" w:name="_Toc5897"/>
      <w:bookmarkStart w:id="1108" w:name="_Toc27103"/>
      <w:bookmarkStart w:id="1109" w:name="_Toc17374"/>
      <w:r>
        <w:rPr>
          <w:rFonts w:hint="eastAsia"/>
          <w:color w:val="auto"/>
          <w:highlight w:val="none"/>
        </w:rPr>
        <w:t>评标程序</w:t>
      </w:r>
      <w:bookmarkEnd w:id="1081"/>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pStyle w:val="37"/>
        <w:numPr>
          <w:ilvl w:val="1"/>
          <w:numId w:val="30"/>
        </w:numPr>
        <w:bidi w:val="0"/>
        <w:rPr>
          <w:rFonts w:hint="eastAsia"/>
          <w:color w:val="auto"/>
          <w:highlight w:val="none"/>
        </w:rPr>
      </w:pPr>
      <w:r>
        <w:rPr>
          <w:rFonts w:hint="eastAsia"/>
          <w:color w:val="auto"/>
          <w:highlight w:val="none"/>
          <w:lang w:val="en-US" w:eastAsia="zh-CN"/>
        </w:rPr>
        <w:t>熟悉</w:t>
      </w:r>
      <w:r>
        <w:rPr>
          <w:rFonts w:hint="eastAsia"/>
          <w:color w:val="auto"/>
          <w:highlight w:val="none"/>
        </w:rPr>
        <w:t>招标文件和停止评标</w:t>
      </w:r>
    </w:p>
    <w:p>
      <w:pPr>
        <w:pStyle w:val="39"/>
        <w:bidi w:val="0"/>
        <w:rPr>
          <w:rFonts w:hint="eastAsia"/>
          <w:color w:val="auto"/>
          <w:highlight w:val="none"/>
        </w:rPr>
      </w:pPr>
      <w:r>
        <w:rPr>
          <w:rFonts w:hint="eastAsia"/>
          <w:color w:val="auto"/>
          <w:highlight w:val="none"/>
        </w:rPr>
        <w:t>评标委员会正式评标前，应当</w:t>
      </w:r>
      <w:r>
        <w:rPr>
          <w:rFonts w:hint="eastAsia"/>
          <w:color w:val="auto"/>
          <w:highlight w:val="none"/>
          <w:lang w:val="en-US" w:eastAsia="zh-CN"/>
        </w:rPr>
        <w:t>熟悉招标文件</w:t>
      </w:r>
      <w:r>
        <w:rPr>
          <w:rFonts w:hint="eastAsia"/>
          <w:color w:val="auto"/>
          <w:highlight w:val="none"/>
        </w:rPr>
        <w:t>，主要包括招标文件中</w:t>
      </w:r>
      <w:r>
        <w:rPr>
          <w:rFonts w:hint="eastAsia"/>
          <w:color w:val="auto"/>
          <w:highlight w:val="none"/>
          <w:lang w:val="en-US" w:eastAsia="zh-CN"/>
        </w:rPr>
        <w:t>符合性审查内容</w:t>
      </w:r>
      <w:r>
        <w:rPr>
          <w:rFonts w:hint="eastAsia"/>
          <w:color w:val="auto"/>
          <w:highlight w:val="none"/>
        </w:rPr>
        <w:t>、采购项目技术、服务和商务要求、评标方法和标准以及政府采购合同主要条款等。</w:t>
      </w:r>
    </w:p>
    <w:p>
      <w:pPr>
        <w:pStyle w:val="39"/>
        <w:bidi w:val="0"/>
        <w:rPr>
          <w:rFonts w:hint="eastAsia"/>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color w:val="auto"/>
          <w:highlight w:val="none"/>
          <w:lang w:eastAsia="zh-CN"/>
        </w:rPr>
        <w:t>。</w:t>
      </w:r>
    </w:p>
    <w:p>
      <w:pPr>
        <w:pStyle w:val="39"/>
        <w:bidi w:val="0"/>
        <w:rPr>
          <w:rFonts w:hint="eastAsia"/>
          <w:color w:val="auto"/>
          <w:highlight w:val="none"/>
        </w:rPr>
      </w:pPr>
      <w:r>
        <w:rPr>
          <w:rFonts w:hint="eastAsia"/>
          <w:color w:val="auto"/>
          <w:highlight w:val="none"/>
        </w:rPr>
        <w:t>评标过程中有下列情形之一的，评标委员会成员可以停止评标：</w:t>
      </w:r>
    </w:p>
    <w:p>
      <w:pPr>
        <w:pStyle w:val="40"/>
        <w:bidi w:val="0"/>
        <w:rPr>
          <w:rFonts w:hint="eastAsia"/>
          <w:color w:val="auto"/>
          <w:highlight w:val="none"/>
        </w:rPr>
      </w:pPr>
      <w:r>
        <w:rPr>
          <w:rFonts w:hint="eastAsia"/>
          <w:color w:val="auto"/>
          <w:highlight w:val="none"/>
        </w:rPr>
        <w:t>招标采购单位未提供必要的与采购项目有关的政策制度文件或者</w:t>
      </w:r>
      <w:r>
        <w:rPr>
          <w:rFonts w:hint="eastAsia"/>
          <w:color w:val="auto"/>
          <w:highlight w:val="none"/>
          <w:lang w:val="en-US" w:eastAsia="zh-CN"/>
        </w:rPr>
        <w:t>招标</w:t>
      </w:r>
      <w:r>
        <w:rPr>
          <w:rFonts w:hint="eastAsia"/>
          <w:color w:val="auto"/>
          <w:highlight w:val="none"/>
        </w:rPr>
        <w:t>文件，继续评标将导致违法或者错误评标的；</w:t>
      </w:r>
    </w:p>
    <w:p>
      <w:pPr>
        <w:pStyle w:val="40"/>
        <w:bidi w:val="0"/>
        <w:rPr>
          <w:rFonts w:hint="eastAsia"/>
          <w:color w:val="auto"/>
          <w:highlight w:val="none"/>
        </w:rPr>
      </w:pPr>
      <w:r>
        <w:rPr>
          <w:rFonts w:hint="eastAsia"/>
          <w:color w:val="auto"/>
          <w:highlight w:val="none"/>
        </w:rPr>
        <w:t>有关单位和个人非法干预评标委员会依法独立评标的；</w:t>
      </w:r>
    </w:p>
    <w:p>
      <w:pPr>
        <w:pStyle w:val="40"/>
        <w:bidi w:val="0"/>
        <w:rPr>
          <w:rFonts w:hint="eastAsia"/>
          <w:color w:val="auto"/>
          <w:highlight w:val="none"/>
        </w:rPr>
      </w:pPr>
      <w:r>
        <w:rPr>
          <w:rFonts w:hint="eastAsia"/>
          <w:color w:val="auto"/>
          <w:highlight w:val="none"/>
        </w:rPr>
        <w:t>其他导致评标委员会无法正常履职的情形。</w:t>
      </w:r>
    </w:p>
    <w:p>
      <w:pPr>
        <w:pStyle w:val="39"/>
        <w:bidi w:val="0"/>
        <w:rPr>
          <w:rFonts w:hint="eastAsia"/>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7"/>
        <w:bidi w:val="0"/>
        <w:rPr>
          <w:rFonts w:hint="eastAsia"/>
          <w:color w:val="auto"/>
          <w:highlight w:val="none"/>
          <w:lang w:val="en-US" w:eastAsia="zh-CN"/>
        </w:rPr>
      </w:pPr>
      <w:r>
        <w:rPr>
          <w:rFonts w:hint="eastAsia"/>
          <w:color w:val="auto"/>
          <w:highlight w:val="none"/>
          <w:lang w:val="en-US" w:eastAsia="zh-CN"/>
        </w:rPr>
        <w:t>符合性审查</w:t>
      </w:r>
    </w:p>
    <w:p>
      <w:pPr>
        <w:pStyle w:val="29"/>
        <w:bidi w:val="0"/>
        <w:rPr>
          <w:rFonts w:hint="eastAsia"/>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9"/>
        <w:bidi w:val="0"/>
        <w:rPr>
          <w:rFonts w:hint="eastAsia"/>
          <w:color w:val="auto"/>
          <w:highlight w:val="none"/>
        </w:rPr>
      </w:pPr>
      <w:r>
        <w:rPr>
          <w:rFonts w:hint="eastAsia"/>
          <w:color w:val="auto"/>
          <w:highlight w:val="none"/>
        </w:rPr>
        <w:t>投标文件</w:t>
      </w:r>
      <w:r>
        <w:rPr>
          <w:rFonts w:hint="eastAsia"/>
          <w:color w:val="auto"/>
          <w:highlight w:val="none"/>
          <w:lang w:eastAsia="zh-CN"/>
        </w:rPr>
        <w:t>(</w:t>
      </w:r>
      <w:r>
        <w:rPr>
          <w:rFonts w:hint="eastAsia"/>
          <w:color w:val="auto"/>
          <w:highlight w:val="none"/>
        </w:rPr>
        <w:t>包括单独递交的开标一览表</w:t>
      </w:r>
      <w:r>
        <w:rPr>
          <w:rFonts w:hint="eastAsia"/>
          <w:color w:val="auto"/>
          <w:highlight w:val="none"/>
          <w:lang w:eastAsia="zh-CN"/>
        </w:rPr>
        <w:t>)</w:t>
      </w:r>
      <w:r>
        <w:rPr>
          <w:rFonts w:hint="eastAsia"/>
          <w:color w:val="auto"/>
          <w:highlight w:val="none"/>
        </w:rPr>
        <w:t>有下列情形的，本项目不作为实质性要求进行规定，即不作为符合性审查事项，不得作为无效投标处理：</w:t>
      </w:r>
    </w:p>
    <w:p>
      <w:pPr>
        <w:pStyle w:val="40"/>
        <w:bidi w:val="0"/>
        <w:rPr>
          <w:rFonts w:hint="eastAsia"/>
          <w:color w:val="auto"/>
          <w:highlight w:val="none"/>
        </w:rPr>
      </w:pPr>
      <w:r>
        <w:rPr>
          <w:rFonts w:hint="eastAsia"/>
          <w:color w:val="auto"/>
          <w:highlight w:val="none"/>
        </w:rPr>
        <w:t>正副本数量齐全，只是未按照招标文件要求进行分装或者统装的；</w:t>
      </w:r>
    </w:p>
    <w:p>
      <w:pPr>
        <w:pStyle w:val="40"/>
        <w:bidi w:val="0"/>
        <w:rPr>
          <w:rFonts w:hint="eastAsia"/>
          <w:color w:val="auto"/>
          <w:highlight w:val="none"/>
        </w:rPr>
      </w:pPr>
      <w:r>
        <w:rPr>
          <w:rFonts w:hint="eastAsia"/>
          <w:color w:val="auto"/>
          <w:highlight w:val="none"/>
        </w:rPr>
        <w:t>存在个别地方</w:t>
      </w:r>
      <w:r>
        <w:rPr>
          <w:rFonts w:hint="eastAsia"/>
          <w:color w:val="auto"/>
          <w:highlight w:val="none"/>
          <w:lang w:eastAsia="zh-CN"/>
        </w:rPr>
        <w:t>(</w:t>
      </w:r>
      <w:r>
        <w:rPr>
          <w:rFonts w:hint="eastAsia"/>
          <w:color w:val="auto"/>
          <w:highlight w:val="none"/>
        </w:rPr>
        <w:t>不超过2个</w:t>
      </w:r>
      <w:r>
        <w:rPr>
          <w:rFonts w:hint="eastAsia"/>
          <w:color w:val="auto"/>
          <w:highlight w:val="none"/>
          <w:lang w:eastAsia="zh-CN"/>
        </w:rPr>
        <w:t>)</w:t>
      </w:r>
      <w:r>
        <w:rPr>
          <w:rFonts w:hint="eastAsia"/>
          <w:color w:val="auto"/>
          <w:highlight w:val="none"/>
        </w:rPr>
        <w:t>没有法定代表人签字，但有法定代表人的私人印章或者有效授权代理人签字的；</w:t>
      </w:r>
    </w:p>
    <w:p>
      <w:pPr>
        <w:pStyle w:val="40"/>
        <w:bidi w:val="0"/>
        <w:rPr>
          <w:rFonts w:hint="eastAsia"/>
          <w:color w:val="auto"/>
          <w:highlight w:val="none"/>
        </w:rPr>
      </w:pPr>
      <w:r>
        <w:rPr>
          <w:rFonts w:hint="eastAsia"/>
          <w:color w:val="auto"/>
          <w:highlight w:val="none"/>
        </w:rPr>
        <w:t>除招标文件明确要求加盖单位(法人)公章的以外，其他地方以相关专用章加盖的；</w:t>
      </w:r>
    </w:p>
    <w:p>
      <w:pPr>
        <w:pStyle w:val="40"/>
        <w:bidi w:val="0"/>
        <w:rPr>
          <w:rFonts w:hint="eastAsia"/>
          <w:color w:val="auto"/>
          <w:highlight w:val="none"/>
        </w:rPr>
      </w:pPr>
      <w:r>
        <w:rPr>
          <w:rFonts w:hint="eastAsia"/>
          <w:color w:val="auto"/>
          <w:highlight w:val="none"/>
        </w:rPr>
        <w:t>以骑缝章的形式代替投标文件内容逐页盖章的</w:t>
      </w:r>
      <w:r>
        <w:rPr>
          <w:rFonts w:hint="eastAsia"/>
          <w:color w:val="auto"/>
          <w:highlight w:val="none"/>
          <w:lang w:eastAsia="zh-CN"/>
        </w:rPr>
        <w:t>(</w:t>
      </w:r>
      <w:r>
        <w:rPr>
          <w:rFonts w:hint="eastAsia"/>
          <w:color w:val="auto"/>
          <w:highlight w:val="none"/>
        </w:rPr>
        <w:t>但是骑缝章模糊不清，印章名称无法辨认的除外</w:t>
      </w:r>
      <w:r>
        <w:rPr>
          <w:rFonts w:hint="eastAsia"/>
          <w:color w:val="auto"/>
          <w:highlight w:val="none"/>
          <w:lang w:eastAsia="zh-CN"/>
        </w:rPr>
        <w:t>)</w:t>
      </w:r>
      <w:r>
        <w:rPr>
          <w:rFonts w:hint="eastAsia"/>
          <w:color w:val="auto"/>
          <w:highlight w:val="none"/>
        </w:rPr>
        <w:t>；</w:t>
      </w:r>
    </w:p>
    <w:p>
      <w:pPr>
        <w:pStyle w:val="40"/>
        <w:bidi w:val="0"/>
        <w:rPr>
          <w:rFonts w:hint="eastAsia"/>
          <w:color w:val="auto"/>
          <w:highlight w:val="none"/>
        </w:rPr>
      </w:pPr>
      <w:r>
        <w:rPr>
          <w:rFonts w:hint="eastAsia"/>
          <w:color w:val="auto"/>
          <w:highlight w:val="none"/>
        </w:rPr>
        <w:t>其他不影响采购项目实质性要求的情形。</w:t>
      </w:r>
    </w:p>
    <w:p>
      <w:pPr>
        <w:pStyle w:val="39"/>
        <w:bidi w:val="0"/>
        <w:rPr>
          <w:rFonts w:hint="eastAsia"/>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0"/>
        <w:bidi w:val="0"/>
        <w:rPr>
          <w:rFonts w:hint="eastAsia"/>
          <w:color w:val="auto"/>
          <w:highlight w:val="none"/>
        </w:rPr>
      </w:pPr>
      <w:r>
        <w:rPr>
          <w:rFonts w:hint="eastAsia"/>
          <w:color w:val="auto"/>
          <w:highlight w:val="none"/>
        </w:rPr>
        <w:t>投标文件正副本数量不足的；</w:t>
      </w:r>
    </w:p>
    <w:p>
      <w:pPr>
        <w:pStyle w:val="40"/>
        <w:bidi w:val="0"/>
        <w:rPr>
          <w:rFonts w:hint="eastAsia"/>
          <w:color w:val="auto"/>
          <w:highlight w:val="none"/>
        </w:rPr>
      </w:pPr>
      <w:r>
        <w:rPr>
          <w:rFonts w:hint="eastAsia"/>
          <w:color w:val="auto"/>
          <w:highlight w:val="none"/>
        </w:rPr>
        <w:t>投标文件组成明显不符合招标文件的规定要求，影响评标委员会评判的；</w:t>
      </w:r>
    </w:p>
    <w:p>
      <w:pPr>
        <w:pStyle w:val="40"/>
        <w:bidi w:val="0"/>
        <w:rPr>
          <w:rFonts w:hint="eastAsia"/>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0"/>
        <w:bidi w:val="0"/>
        <w:rPr>
          <w:rFonts w:hint="eastAsia"/>
          <w:color w:val="auto"/>
          <w:highlight w:val="none"/>
        </w:rPr>
      </w:pPr>
      <w:r>
        <w:rPr>
          <w:rFonts w:hint="eastAsia"/>
          <w:color w:val="auto"/>
          <w:highlight w:val="none"/>
        </w:rPr>
        <w:t>投标报价不符合招标文件规定的价格标底和其他报价规定的；</w:t>
      </w:r>
    </w:p>
    <w:p>
      <w:pPr>
        <w:pStyle w:val="40"/>
        <w:bidi w:val="0"/>
        <w:rPr>
          <w:rFonts w:hint="eastAsia"/>
          <w:color w:val="auto"/>
          <w:highlight w:val="none"/>
        </w:rPr>
      </w:pPr>
      <w:r>
        <w:rPr>
          <w:rFonts w:hint="eastAsia"/>
          <w:color w:val="auto"/>
          <w:highlight w:val="none"/>
        </w:rPr>
        <w:t>技术、服务应答内容没有完全响应招标文件的实质性要求的；</w:t>
      </w:r>
    </w:p>
    <w:p>
      <w:pPr>
        <w:pStyle w:val="40"/>
        <w:bidi w:val="0"/>
        <w:rPr>
          <w:rFonts w:hint="eastAsia"/>
          <w:color w:val="auto"/>
          <w:highlight w:val="none"/>
        </w:rPr>
      </w:pPr>
      <w:r>
        <w:rPr>
          <w:rFonts w:hint="eastAsia"/>
          <w:color w:val="auto"/>
          <w:highlight w:val="none"/>
        </w:rPr>
        <w:t>招标文件有明确要求，但投标文件未载明或者载明的采购项目</w:t>
      </w:r>
      <w:r>
        <w:rPr>
          <w:rFonts w:hint="eastAsia"/>
          <w:color w:val="auto"/>
          <w:highlight w:val="none"/>
          <w:lang w:eastAsia="zh-CN"/>
        </w:rPr>
        <w:t>服务期限</w:t>
      </w:r>
      <w:r>
        <w:rPr>
          <w:rFonts w:hint="eastAsia"/>
          <w:color w:val="auto"/>
          <w:highlight w:val="none"/>
        </w:rPr>
        <w:t>、方式、数量与招标文件要求不一致的</w:t>
      </w:r>
      <w:r>
        <w:rPr>
          <w:rFonts w:hint="eastAsia"/>
          <w:color w:val="auto"/>
          <w:highlight w:val="none"/>
          <w:lang w:eastAsia="zh-CN"/>
        </w:rPr>
        <w:t>；</w:t>
      </w:r>
    </w:p>
    <w:p>
      <w:pPr>
        <w:pStyle w:val="40"/>
        <w:bidi w:val="0"/>
        <w:rPr>
          <w:rFonts w:hint="eastAsia"/>
          <w:color w:val="auto"/>
          <w:highlight w:val="none"/>
        </w:rPr>
      </w:pPr>
      <w:r>
        <w:rPr>
          <w:rFonts w:hint="eastAsia"/>
          <w:color w:val="auto"/>
          <w:highlight w:val="none"/>
        </w:rPr>
        <w:t>投标文件含有采购人不能接受的附加条件的</w:t>
      </w:r>
      <w:r>
        <w:rPr>
          <w:rFonts w:hint="eastAsia"/>
          <w:color w:val="auto"/>
          <w:highlight w:val="none"/>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注：</w:t>
      </w:r>
      <w:r>
        <w:rPr>
          <w:rFonts w:hint="eastAsia" w:cstheme="minorBidi"/>
          <w:color w:val="auto"/>
          <w:kern w:val="2"/>
          <w:sz w:val="24"/>
          <w:szCs w:val="24"/>
          <w:highlight w:val="none"/>
          <w:lang w:val="en-US" w:eastAsia="zh-CN" w:bidi="ar-SA"/>
        </w:rPr>
        <w:t>①</w:t>
      </w:r>
      <w:r>
        <w:rPr>
          <w:rFonts w:hint="eastAsia" w:ascii="宋体" w:hAnsi="宋体" w:eastAsia="宋体" w:cstheme="minorBidi"/>
          <w:color w:val="auto"/>
          <w:kern w:val="2"/>
          <w:sz w:val="24"/>
          <w:szCs w:val="24"/>
          <w:highlight w:val="none"/>
          <w:lang w:val="en-US" w:eastAsia="zh-CN" w:bidi="ar-SA"/>
        </w:rPr>
        <w:t>投标人的投标文件应全部通过上述</w:t>
      </w:r>
      <w:r>
        <w:rPr>
          <w:rFonts w:hint="eastAsia" w:cstheme="minorBidi"/>
          <w:color w:val="auto"/>
          <w:kern w:val="2"/>
          <w:sz w:val="24"/>
          <w:szCs w:val="24"/>
          <w:highlight w:val="none"/>
          <w:lang w:val="en-US" w:eastAsia="zh-CN" w:bidi="ar-SA"/>
        </w:rPr>
        <w:t>符合性审查内容</w:t>
      </w:r>
      <w:r>
        <w:rPr>
          <w:rFonts w:hint="eastAsia" w:ascii="宋体" w:hAnsi="宋体" w:eastAsia="宋体" w:cstheme="minorBidi"/>
          <w:color w:val="auto"/>
          <w:kern w:val="2"/>
          <w:sz w:val="24"/>
          <w:szCs w:val="24"/>
          <w:highlight w:val="none"/>
          <w:lang w:val="en-US" w:eastAsia="zh-CN" w:bidi="ar-SA"/>
        </w:rPr>
        <w:t>；如有任意一项未通过的，应在符合性审查报告中载明</w:t>
      </w:r>
      <w:r>
        <w:rPr>
          <w:rFonts w:hint="eastAsia" w:cstheme="minorBidi"/>
          <w:color w:val="auto"/>
          <w:kern w:val="2"/>
          <w:sz w:val="24"/>
          <w:szCs w:val="24"/>
          <w:highlight w:val="none"/>
          <w:lang w:val="en-US" w:eastAsia="zh-CN" w:bidi="ar-SA"/>
        </w:rPr>
        <w:t>未</w:t>
      </w:r>
      <w:r>
        <w:rPr>
          <w:rFonts w:hint="eastAsia" w:ascii="宋体" w:hAnsi="宋体" w:eastAsia="宋体" w:cstheme="minorBidi"/>
          <w:color w:val="auto"/>
          <w:kern w:val="2"/>
          <w:sz w:val="24"/>
          <w:szCs w:val="24"/>
          <w:highlight w:val="none"/>
          <w:lang w:val="en-US" w:eastAsia="zh-CN" w:bidi="ar-SA"/>
        </w:rPr>
        <w:t>通过的具体原因，</w:t>
      </w:r>
      <w:r>
        <w:rPr>
          <w:rFonts w:hint="eastAsia" w:cstheme="minorBidi"/>
          <w:color w:val="auto"/>
          <w:kern w:val="2"/>
          <w:sz w:val="24"/>
          <w:szCs w:val="24"/>
          <w:highlight w:val="none"/>
          <w:lang w:val="en-US" w:eastAsia="zh-CN" w:bidi="ar-SA"/>
        </w:rPr>
        <w:t>该</w:t>
      </w:r>
      <w:r>
        <w:rPr>
          <w:rFonts w:hint="eastAsia" w:ascii="宋体" w:hAnsi="宋体" w:eastAsia="宋体" w:cstheme="minorBidi"/>
          <w:color w:val="auto"/>
          <w:kern w:val="2"/>
          <w:sz w:val="24"/>
          <w:szCs w:val="24"/>
          <w:highlight w:val="none"/>
          <w:lang w:val="en-US" w:eastAsia="zh-CN" w:bidi="ar-SA"/>
        </w:rPr>
        <w:t>投标人的投标文件按无效投标文件处理。</w:t>
      </w:r>
    </w:p>
    <w:p>
      <w:pPr>
        <w:pStyle w:val="40"/>
        <w:numPr>
          <w:ilvl w:val="3"/>
          <w:numId w:val="0"/>
        </w:numPr>
        <w:bidi w:val="0"/>
        <w:ind w:leftChars="200"/>
        <w:rPr>
          <w:rFonts w:hint="eastAsia"/>
          <w:color w:val="auto"/>
          <w:highlight w:val="none"/>
        </w:rPr>
      </w:pPr>
      <w:r>
        <w:rPr>
          <w:rFonts w:hint="eastAsia" w:cstheme="minorBidi"/>
          <w:color w:val="auto"/>
          <w:kern w:val="2"/>
          <w:sz w:val="24"/>
          <w:szCs w:val="24"/>
          <w:highlight w:val="none"/>
          <w:lang w:val="en-US" w:eastAsia="zh-CN" w:bidi="ar-SA"/>
        </w:rPr>
        <w:t>②</w:t>
      </w:r>
      <w:r>
        <w:rPr>
          <w:rFonts w:hint="eastAsia" w:ascii="宋体" w:hAnsi="宋体" w:eastAsia="宋体" w:cstheme="minorBidi"/>
          <w:color w:val="auto"/>
          <w:kern w:val="2"/>
          <w:sz w:val="24"/>
          <w:szCs w:val="24"/>
          <w:highlight w:val="none"/>
          <w:lang w:val="en-US" w:eastAsia="zh-CN" w:bidi="ar-SA"/>
        </w:rPr>
        <w:t>通过符合性审查的</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＜3</w:t>
      </w:r>
      <w:r>
        <w:rPr>
          <w:rFonts w:hint="eastAsia" w:cstheme="minorBidi"/>
          <w:color w:val="auto"/>
          <w:kern w:val="2"/>
          <w:sz w:val="24"/>
          <w:szCs w:val="24"/>
          <w:highlight w:val="none"/>
          <w:lang w:val="en-US" w:eastAsia="zh-CN" w:bidi="ar-SA"/>
        </w:rPr>
        <w:t>家</w:t>
      </w:r>
      <w:r>
        <w:rPr>
          <w:rFonts w:hint="eastAsia" w:ascii="宋体" w:hAnsi="宋体" w:eastAsia="宋体" w:cstheme="minorBidi"/>
          <w:color w:val="auto"/>
          <w:kern w:val="2"/>
          <w:sz w:val="24"/>
          <w:szCs w:val="24"/>
          <w:highlight w:val="none"/>
          <w:lang w:val="en-US" w:eastAsia="zh-CN" w:bidi="ar-SA"/>
        </w:rPr>
        <w:t>，本项目采购失败</w:t>
      </w:r>
      <w:r>
        <w:rPr>
          <w:rFonts w:hint="eastAsia" w:cstheme="minorBidi"/>
          <w:color w:val="auto"/>
          <w:kern w:val="2"/>
          <w:sz w:val="24"/>
          <w:szCs w:val="24"/>
          <w:highlight w:val="none"/>
          <w:lang w:val="en-US" w:eastAsia="zh-CN" w:bidi="ar-SA"/>
        </w:rPr>
        <w:t>。</w:t>
      </w:r>
    </w:p>
    <w:p>
      <w:pPr>
        <w:pStyle w:val="37"/>
        <w:bidi w:val="0"/>
        <w:rPr>
          <w:rFonts w:hint="eastAsia"/>
          <w:color w:val="auto"/>
          <w:highlight w:val="none"/>
          <w:lang w:val="en-US" w:eastAsia="zh-CN"/>
        </w:rPr>
      </w:pPr>
      <w:r>
        <w:rPr>
          <w:rFonts w:hint="eastAsia"/>
          <w:color w:val="auto"/>
          <w:highlight w:val="none"/>
          <w:lang w:val="en-US" w:eastAsia="zh-CN"/>
        </w:rPr>
        <w:t>比较与评价</w:t>
      </w:r>
    </w:p>
    <w:p>
      <w:pPr>
        <w:pStyle w:val="29"/>
        <w:bidi w:val="0"/>
        <w:rPr>
          <w:rFonts w:hint="eastAsia"/>
          <w:color w:val="auto"/>
          <w:highlight w:val="none"/>
        </w:rPr>
      </w:pPr>
      <w:r>
        <w:rPr>
          <w:rFonts w:hint="eastAsia"/>
          <w:color w:val="auto"/>
          <w:highlight w:val="none"/>
          <w:lang w:val="en-US" w:eastAsia="zh-CN"/>
        </w:rPr>
        <w:t>评标委员会应当按照</w:t>
      </w:r>
      <w:r>
        <w:rPr>
          <w:rFonts w:hint="eastAsia"/>
          <w:color w:val="auto"/>
          <w:highlight w:val="none"/>
        </w:rPr>
        <w:t>招标文件中规定的评标方法和标准，对</w:t>
      </w:r>
      <w:r>
        <w:rPr>
          <w:rFonts w:hint="eastAsia"/>
          <w:color w:val="auto"/>
          <w:highlight w:val="none"/>
          <w:lang w:val="en-US" w:eastAsia="zh-CN"/>
        </w:rPr>
        <w:t>符合性审查合格的</w:t>
      </w:r>
      <w:r>
        <w:rPr>
          <w:rFonts w:hint="eastAsia"/>
          <w:color w:val="auto"/>
          <w:highlight w:val="none"/>
        </w:rPr>
        <w:t>投标文件进行商务</w:t>
      </w:r>
      <w:r>
        <w:rPr>
          <w:rFonts w:hint="eastAsia"/>
          <w:color w:val="auto"/>
          <w:highlight w:val="none"/>
          <w:lang w:val="en-US" w:eastAsia="zh-CN"/>
        </w:rPr>
        <w:t>和技术</w:t>
      </w:r>
      <w:r>
        <w:rPr>
          <w:rFonts w:hint="eastAsia"/>
          <w:color w:val="auto"/>
          <w:highlight w:val="none"/>
        </w:rPr>
        <w:t>评估，综合比较与评价。</w:t>
      </w:r>
    </w:p>
    <w:p>
      <w:pPr>
        <w:pStyle w:val="37"/>
        <w:bidi w:val="0"/>
        <w:rPr>
          <w:rFonts w:hint="eastAsia"/>
          <w:color w:val="auto"/>
          <w:highlight w:val="none"/>
          <w:lang w:val="en-US" w:eastAsia="zh-CN"/>
        </w:rPr>
      </w:pPr>
      <w:r>
        <w:rPr>
          <w:rFonts w:hint="eastAsia"/>
          <w:color w:val="auto"/>
          <w:highlight w:val="none"/>
          <w:lang w:val="en-US" w:eastAsia="zh-CN"/>
        </w:rPr>
        <w:t>评标争议处理规则</w:t>
      </w:r>
    </w:p>
    <w:p>
      <w:pPr>
        <w:pStyle w:val="29"/>
        <w:bidi w:val="0"/>
        <w:rPr>
          <w:rFonts w:hint="eastAsia"/>
          <w:color w:val="auto"/>
          <w:highlight w:val="none"/>
        </w:rPr>
      </w:pPr>
      <w:r>
        <w:rPr>
          <w:rFonts w:hint="eastAsia"/>
          <w:color w:val="auto"/>
          <w:highlight w:val="none"/>
        </w:rPr>
        <w:t>评标委员会成员在评标过程中，对于符合性</w:t>
      </w:r>
      <w:r>
        <w:rPr>
          <w:rFonts w:hint="eastAsia"/>
          <w:color w:val="auto"/>
          <w:highlight w:val="none"/>
          <w:lang w:val="en-US" w:eastAsia="zh-CN"/>
        </w:rPr>
        <w:t>审</w:t>
      </w:r>
      <w:r>
        <w:rPr>
          <w:rFonts w:hint="eastAsia"/>
          <w:color w:val="auto"/>
          <w:highlight w:val="none"/>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7"/>
        <w:bidi w:val="0"/>
        <w:rPr>
          <w:rFonts w:hint="eastAsia"/>
          <w:color w:val="auto"/>
          <w:highlight w:val="none"/>
          <w:lang w:val="en-US" w:eastAsia="zh-CN"/>
        </w:rPr>
      </w:pPr>
      <w:r>
        <w:rPr>
          <w:rFonts w:hint="eastAsia"/>
          <w:color w:val="auto"/>
          <w:highlight w:val="none"/>
          <w:lang w:val="en-US" w:eastAsia="zh-CN"/>
        </w:rPr>
        <w:t>澄清、说明或者纠正</w:t>
      </w:r>
    </w:p>
    <w:p>
      <w:pPr>
        <w:pStyle w:val="39"/>
        <w:bidi w:val="0"/>
        <w:rPr>
          <w:rFonts w:hint="eastAsia"/>
          <w:color w:val="auto"/>
          <w:highlight w:val="none"/>
        </w:rPr>
      </w:pPr>
      <w:r>
        <w:rPr>
          <w:rFonts w:hint="eastAsia"/>
          <w:color w:val="auto"/>
          <w:highlight w:val="none"/>
        </w:rPr>
        <w:t>评标过程中，评标委员会认为招标文件有关事项表述不明确或需要说明的，可以提请</w:t>
      </w:r>
      <w:r>
        <w:rPr>
          <w:rFonts w:hint="eastAsia"/>
          <w:color w:val="auto"/>
          <w:highlight w:val="none"/>
          <w:lang w:val="en-US" w:eastAsia="zh-CN"/>
        </w:rPr>
        <w:t>采购代理机构</w:t>
      </w:r>
      <w:r>
        <w:rPr>
          <w:rFonts w:hint="eastAsia"/>
          <w:color w:val="auto"/>
          <w:highlight w:val="none"/>
        </w:rPr>
        <w:t>书面解释。</w:t>
      </w:r>
      <w:r>
        <w:rPr>
          <w:rFonts w:hint="eastAsia"/>
          <w:color w:val="auto"/>
          <w:highlight w:val="none"/>
          <w:lang w:val="en-US" w:eastAsia="zh-CN"/>
        </w:rPr>
        <w:t>采购代理机构</w:t>
      </w:r>
      <w:r>
        <w:rPr>
          <w:rFonts w:hint="eastAsia"/>
          <w:color w:val="auto"/>
          <w:highlight w:val="none"/>
        </w:rPr>
        <w:t>的解释不得改变招标文件的原义或者影响公平、公正，解释事项如果涉及投标人权益的以有利于投标人的原则进行解释。</w:t>
      </w:r>
    </w:p>
    <w:p>
      <w:pPr>
        <w:pStyle w:val="39"/>
        <w:bidi w:val="0"/>
        <w:rPr>
          <w:rFonts w:hint="eastAsia"/>
          <w:color w:val="auto"/>
          <w:highlight w:val="none"/>
        </w:rPr>
      </w:pPr>
      <w:r>
        <w:rPr>
          <w:rFonts w:hint="eastAsia"/>
          <w:color w:val="auto"/>
          <w:highlight w:val="none"/>
        </w:rPr>
        <w:t>在评标过程中，评标委员会对投标文件中含义不明确、同类问题表述不一致或者有明显文字和计算错误的内容，应当以书面形式</w:t>
      </w:r>
      <w:r>
        <w:rPr>
          <w:rFonts w:hint="eastAsia"/>
          <w:color w:val="auto"/>
          <w:highlight w:val="none"/>
          <w:lang w:eastAsia="zh-CN"/>
        </w:rPr>
        <w:t>(</w:t>
      </w:r>
      <w:r>
        <w:rPr>
          <w:rFonts w:hint="eastAsia"/>
          <w:color w:val="auto"/>
          <w:highlight w:val="none"/>
        </w:rPr>
        <w:t>须由评标委员会全体成员签字</w:t>
      </w:r>
      <w:r>
        <w:rPr>
          <w:rFonts w:hint="eastAsia"/>
          <w:color w:val="auto"/>
          <w:highlight w:val="none"/>
          <w:lang w:eastAsia="zh-CN"/>
        </w:rPr>
        <w:t>)</w:t>
      </w:r>
      <w:r>
        <w:rPr>
          <w:rFonts w:hint="eastAsia"/>
          <w:color w:val="auto"/>
          <w:highlight w:val="none"/>
        </w:rPr>
        <w:t>要求供应商作出必要的书面澄清、说明或者纠正，并给予供应商必要的反馈时间。</w:t>
      </w:r>
    </w:p>
    <w:p>
      <w:pPr>
        <w:pStyle w:val="39"/>
        <w:bidi w:val="0"/>
        <w:rPr>
          <w:rFonts w:hint="eastAsia"/>
          <w:color w:val="auto"/>
          <w:highlight w:val="none"/>
        </w:rPr>
      </w:pPr>
      <w:r>
        <w:rPr>
          <w:rFonts w:hint="eastAsia"/>
          <w:color w:val="auto"/>
          <w:highlight w:val="none"/>
        </w:rPr>
        <w:t>供应商应当书面澄清、说明或者纠正，并加盖公章或签字确认</w:t>
      </w:r>
      <w:r>
        <w:rPr>
          <w:rFonts w:hint="eastAsia"/>
          <w:color w:val="auto"/>
          <w:highlight w:val="none"/>
          <w:lang w:eastAsia="zh-CN"/>
        </w:rPr>
        <w:t>(</w:t>
      </w:r>
      <w:r>
        <w:rPr>
          <w:rFonts w:hint="eastAsia"/>
          <w:color w:val="auto"/>
          <w:highlight w:val="none"/>
        </w:rPr>
        <w:t>供应商为法人的，应当由其法定代表人或者代理人签字确认；供应商为其他组织的，应当由其主要负责人或者代理人签字确认；供应商为自然人的，应当由其本人或者代理人签字确认</w:t>
      </w:r>
      <w:r>
        <w:rPr>
          <w:rFonts w:hint="eastAsia"/>
          <w:color w:val="auto"/>
          <w:highlight w:val="none"/>
          <w:lang w:eastAsia="zh-CN"/>
        </w:rPr>
        <w:t>)</w:t>
      </w:r>
      <w:r>
        <w:rPr>
          <w:rFonts w:hint="eastAsia"/>
          <w:color w:val="auto"/>
          <w:highlight w:val="none"/>
        </w:rPr>
        <w:t>，否则无效。澄清、说明或者纠正不影响投标文件的效力，有效的澄清、说明或者纠正材料，是投标文件的组成部分。</w:t>
      </w:r>
    </w:p>
    <w:p>
      <w:pPr>
        <w:pStyle w:val="39"/>
        <w:bidi w:val="0"/>
        <w:rPr>
          <w:rFonts w:hint="eastAsia"/>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0"/>
        <w:bidi w:val="0"/>
        <w:rPr>
          <w:rFonts w:hint="eastAsia"/>
          <w:color w:val="auto"/>
          <w:highlight w:val="none"/>
        </w:rPr>
      </w:pPr>
      <w:r>
        <w:rPr>
          <w:rFonts w:hint="eastAsia"/>
          <w:color w:val="auto"/>
          <w:highlight w:val="none"/>
        </w:rPr>
        <w:t>按财政部规定应当在评标时不予承认的投标文件内容事项；</w:t>
      </w:r>
    </w:p>
    <w:p>
      <w:pPr>
        <w:pStyle w:val="40"/>
        <w:bidi w:val="0"/>
        <w:rPr>
          <w:rFonts w:hint="eastAsia"/>
          <w:color w:val="auto"/>
          <w:highlight w:val="none"/>
        </w:rPr>
      </w:pPr>
      <w:r>
        <w:rPr>
          <w:rFonts w:hint="eastAsia"/>
          <w:color w:val="auto"/>
          <w:highlight w:val="none"/>
        </w:rPr>
        <w:t>投标文件中已经明确的内容事项；</w:t>
      </w:r>
    </w:p>
    <w:p>
      <w:pPr>
        <w:pStyle w:val="40"/>
        <w:bidi w:val="0"/>
        <w:rPr>
          <w:rFonts w:hint="eastAsia"/>
          <w:color w:val="auto"/>
          <w:highlight w:val="none"/>
        </w:rPr>
      </w:pPr>
      <w:r>
        <w:rPr>
          <w:rFonts w:hint="eastAsia"/>
          <w:color w:val="auto"/>
          <w:highlight w:val="none"/>
        </w:rPr>
        <w:t>投标文件未提供的材料。</w:t>
      </w:r>
    </w:p>
    <w:p>
      <w:pPr>
        <w:pStyle w:val="39"/>
        <w:bidi w:val="0"/>
        <w:rPr>
          <w:rFonts w:hint="eastAsia"/>
          <w:color w:val="auto"/>
          <w:highlight w:val="none"/>
        </w:rPr>
      </w:pPr>
      <w:r>
        <w:rPr>
          <w:rFonts w:hint="eastAsia"/>
          <w:color w:val="auto"/>
          <w:highlight w:val="none"/>
        </w:rPr>
        <w:t>本项目采购过程中，投标文件出现下列情况的，不需要供应商澄清、说明或者纠正，按照以下原则处理：</w:t>
      </w:r>
    </w:p>
    <w:p>
      <w:pPr>
        <w:pStyle w:val="40"/>
        <w:bidi w:val="0"/>
        <w:rPr>
          <w:rFonts w:hint="eastAsia"/>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0"/>
        <w:bidi w:val="0"/>
        <w:rPr>
          <w:rFonts w:hint="eastAsia"/>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0"/>
        <w:bidi w:val="0"/>
        <w:rPr>
          <w:rFonts w:hint="eastAsia"/>
          <w:color w:val="auto"/>
          <w:highlight w:val="none"/>
        </w:rPr>
      </w:pPr>
      <w:r>
        <w:rPr>
          <w:rFonts w:hint="eastAsia"/>
          <w:color w:val="auto"/>
          <w:highlight w:val="none"/>
        </w:rPr>
        <w:t>单价金额小数点有明显错位的，应以总价为准，并修改单价；</w:t>
      </w:r>
    </w:p>
    <w:p>
      <w:pPr>
        <w:pStyle w:val="40"/>
        <w:bidi w:val="0"/>
        <w:rPr>
          <w:rFonts w:hint="eastAsia"/>
          <w:color w:val="auto"/>
          <w:highlight w:val="none"/>
        </w:rPr>
      </w:pPr>
      <w:r>
        <w:rPr>
          <w:rFonts w:hint="eastAsia"/>
          <w:color w:val="auto"/>
          <w:highlight w:val="none"/>
        </w:rPr>
        <w:t>对不同语言文本投标文件的解释发生异议的，以中文文本为准。</w:t>
      </w:r>
    </w:p>
    <w:p>
      <w:pPr>
        <w:pStyle w:val="29"/>
        <w:bidi w:val="0"/>
        <w:rPr>
          <w:rFonts w:hint="eastAsia"/>
          <w:color w:val="auto"/>
          <w:highlight w:val="none"/>
        </w:rPr>
      </w:pPr>
      <w:r>
        <w:rPr>
          <w:rFonts w:hint="eastAsia"/>
          <w:color w:val="auto"/>
          <w:highlight w:val="none"/>
        </w:rPr>
        <w:t>出现本条第</w:t>
      </w:r>
      <w:r>
        <w:rPr>
          <w:rFonts w:hint="eastAsia"/>
          <w:color w:val="auto"/>
          <w:highlight w:val="none"/>
          <w:lang w:val="en-US" w:eastAsia="zh-CN"/>
        </w:rPr>
        <w:t>5.2</w:t>
      </w:r>
      <w:r>
        <w:rPr>
          <w:rFonts w:hint="eastAsia"/>
          <w:color w:val="auto"/>
          <w:highlight w:val="none"/>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bidi w:val="0"/>
        <w:rPr>
          <w:rFonts w:hint="eastAsia"/>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37"/>
        <w:bidi w:val="0"/>
        <w:rPr>
          <w:rFonts w:hint="eastAsia"/>
          <w:color w:val="auto"/>
          <w:highlight w:val="none"/>
        </w:rPr>
      </w:pPr>
      <w:r>
        <w:rPr>
          <w:rFonts w:hint="eastAsia"/>
          <w:color w:val="auto"/>
          <w:highlight w:val="none"/>
        </w:rPr>
        <w:t>投标文件报价出现前后不一致的，除招标文件另有规定外，按照下列规定修正：</w:t>
      </w:r>
    </w:p>
    <w:p>
      <w:pPr>
        <w:pStyle w:val="39"/>
        <w:bidi w:val="0"/>
        <w:rPr>
          <w:rFonts w:hint="eastAsia"/>
          <w:color w:val="auto"/>
          <w:highlight w:val="none"/>
        </w:rPr>
      </w:pPr>
      <w:r>
        <w:rPr>
          <w:rFonts w:hint="eastAsia"/>
          <w:color w:val="auto"/>
          <w:highlight w:val="none"/>
        </w:rPr>
        <w:t>投标文件中开标一览表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内容与投标文件中相应内容不一致的，以开标唱标</w:t>
      </w:r>
      <w:r>
        <w:rPr>
          <w:rFonts w:hint="eastAsia"/>
          <w:color w:val="auto"/>
          <w:highlight w:val="none"/>
          <w:lang w:eastAsia="zh-CN"/>
        </w:rPr>
        <w:t>时</w:t>
      </w:r>
      <w:r>
        <w:rPr>
          <w:rFonts w:hint="eastAsia"/>
          <w:color w:val="auto"/>
          <w:highlight w:val="none"/>
        </w:rPr>
        <w:t>单独提交的开标一览表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为准；</w:t>
      </w:r>
    </w:p>
    <w:p>
      <w:pPr>
        <w:pStyle w:val="39"/>
        <w:bidi w:val="0"/>
        <w:rPr>
          <w:rFonts w:hint="eastAsia"/>
          <w:color w:val="auto"/>
          <w:highlight w:val="none"/>
        </w:rPr>
      </w:pPr>
      <w:r>
        <w:rPr>
          <w:rFonts w:hint="eastAsia"/>
          <w:color w:val="auto"/>
          <w:highlight w:val="none"/>
        </w:rPr>
        <w:t>大写金额和小写金额不一致的，以大写金额为准；</w:t>
      </w:r>
    </w:p>
    <w:p>
      <w:pPr>
        <w:pStyle w:val="39"/>
        <w:bidi w:val="0"/>
        <w:rPr>
          <w:rFonts w:hint="eastAsia"/>
          <w:color w:val="auto"/>
          <w:highlight w:val="none"/>
        </w:rPr>
      </w:pPr>
      <w:r>
        <w:rPr>
          <w:rFonts w:hint="eastAsia"/>
          <w:color w:val="auto"/>
          <w:highlight w:val="none"/>
        </w:rPr>
        <w:t>单价金额小数点或者百分比有明显错位的，以开标一览表的总价为准，并修改单价；</w:t>
      </w:r>
    </w:p>
    <w:p>
      <w:pPr>
        <w:pStyle w:val="39"/>
        <w:bidi w:val="0"/>
        <w:rPr>
          <w:rFonts w:hint="eastAsia"/>
          <w:color w:val="auto"/>
          <w:highlight w:val="none"/>
        </w:rPr>
      </w:pPr>
      <w:r>
        <w:rPr>
          <w:rFonts w:hint="eastAsia"/>
          <w:color w:val="auto"/>
          <w:highlight w:val="none"/>
        </w:rPr>
        <w:t>总价金额与按单价汇总金额不一致的，以单价金额计算结果为准。</w:t>
      </w:r>
    </w:p>
    <w:p>
      <w:pPr>
        <w:pStyle w:val="49"/>
        <w:bidi w:val="0"/>
        <w:rPr>
          <w:rFonts w:hint="eastAsia"/>
          <w:color w:val="auto"/>
          <w:highlight w:val="none"/>
          <w:lang w:val="en-US" w:eastAsia="zh-CN"/>
        </w:rPr>
      </w:pPr>
      <w:r>
        <w:rPr>
          <w:rFonts w:hint="eastAsia"/>
          <w:color w:val="auto"/>
          <w:highlight w:val="none"/>
        </w:rPr>
        <w:t>同时出现两种以上不一致的，按照前款规定的顺序修正。修正后的报价按照《政府采购货物和服务招标投标管理办法》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第五十一条第二款的规定经投标人确认后产生约束力，投标人不确认的，其投标无效。</w:t>
      </w:r>
    </w:p>
    <w:p>
      <w:pPr>
        <w:pStyle w:val="37"/>
        <w:bidi w:val="0"/>
        <w:rPr>
          <w:rFonts w:hint="eastAsia"/>
          <w:color w:val="auto"/>
          <w:highlight w:val="none"/>
          <w:lang w:val="en-US" w:eastAsia="zh-CN"/>
        </w:rPr>
      </w:pPr>
      <w:r>
        <w:rPr>
          <w:rFonts w:hint="eastAsia"/>
          <w:color w:val="auto"/>
          <w:highlight w:val="none"/>
          <w:lang w:val="en-US" w:eastAsia="zh-CN"/>
        </w:rPr>
        <w:t>低于成本价投标处理</w:t>
      </w:r>
    </w:p>
    <w:p>
      <w:pPr>
        <w:pStyle w:val="39"/>
        <w:bidi w:val="0"/>
        <w:rPr>
          <w:rFonts w:hint="eastAsia"/>
          <w:color w:val="auto"/>
          <w:highlight w:val="none"/>
          <w:lang w:val="en-US" w:eastAsia="zh-CN"/>
        </w:rPr>
      </w:pPr>
      <w:r>
        <w:rPr>
          <w:rFonts w:hint="eastAsia"/>
          <w:color w:val="auto"/>
          <w:highlight w:val="none"/>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39"/>
        <w:bidi w:val="0"/>
        <w:rPr>
          <w:rFonts w:hint="eastAsia"/>
          <w:color w:val="auto"/>
          <w:highlight w:val="none"/>
          <w:lang w:val="en-US" w:eastAsia="zh-CN"/>
        </w:rPr>
      </w:pPr>
      <w:r>
        <w:rPr>
          <w:rFonts w:hint="eastAsia"/>
          <w:color w:val="auto"/>
          <w:highlight w:val="none"/>
          <w:lang w:val="en-US"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39"/>
        <w:bidi w:val="0"/>
        <w:rPr>
          <w:rFonts w:hint="eastAsia"/>
          <w:color w:val="auto"/>
          <w:highlight w:val="none"/>
        </w:rPr>
      </w:pPr>
      <w:r>
        <w:rPr>
          <w:rFonts w:hint="eastAsia"/>
          <w:color w:val="auto"/>
          <w:highlight w:val="none"/>
          <w:lang w:val="en-US" w:eastAsia="zh-CN"/>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24"/>
        <w:numPr>
          <w:ilvl w:val="1"/>
          <w:numId w:val="12"/>
        </w:numPr>
        <w:bidi w:val="0"/>
        <w:rPr>
          <w:rFonts w:hint="eastAsia"/>
          <w:color w:val="auto"/>
          <w:highlight w:val="none"/>
        </w:rPr>
      </w:pPr>
      <w:bookmarkStart w:id="1110" w:name="_Toc23187"/>
      <w:bookmarkStart w:id="1111" w:name="_Toc25587"/>
      <w:bookmarkStart w:id="1112" w:name="_Toc217446103"/>
      <w:bookmarkStart w:id="1113" w:name="_Toc319440191"/>
      <w:bookmarkStart w:id="1114" w:name="_Toc327196342"/>
      <w:bookmarkStart w:id="1115" w:name="_Toc23140"/>
      <w:bookmarkStart w:id="1116" w:name="_Toc26213"/>
      <w:bookmarkStart w:id="1117" w:name="_Toc308084646"/>
      <w:bookmarkStart w:id="1118" w:name="_Toc24902"/>
      <w:bookmarkStart w:id="1119" w:name="_Toc22389"/>
      <w:bookmarkStart w:id="1120" w:name="_Toc2106"/>
      <w:bookmarkStart w:id="1121" w:name="_Toc1756"/>
      <w:bookmarkStart w:id="1122" w:name="_Toc307501155"/>
      <w:bookmarkStart w:id="1123" w:name="_Toc30417"/>
      <w:bookmarkStart w:id="1124" w:name="_Toc308188199"/>
      <w:bookmarkStart w:id="1125" w:name="_Toc21397"/>
      <w:bookmarkStart w:id="1126" w:name="_Toc307564897"/>
      <w:bookmarkStart w:id="1127" w:name="_Toc319439947"/>
      <w:bookmarkStart w:id="1128" w:name="_Toc309897564"/>
      <w:bookmarkStart w:id="1129" w:name="_Toc26664"/>
      <w:bookmarkStart w:id="1130" w:name="_Toc27402"/>
      <w:r>
        <w:rPr>
          <w:rFonts w:hint="eastAsia"/>
          <w:color w:val="auto"/>
          <w:highlight w:val="none"/>
        </w:rPr>
        <w:t>评标细则及标准</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pStyle w:val="37"/>
        <w:numPr>
          <w:ilvl w:val="1"/>
          <w:numId w:val="31"/>
        </w:numPr>
        <w:bidi w:val="0"/>
        <w:rPr>
          <w:rFonts w:hint="eastAsia"/>
          <w:color w:val="auto"/>
          <w:highlight w:val="none"/>
        </w:rPr>
      </w:pPr>
      <w:r>
        <w:rPr>
          <w:rFonts w:hint="eastAsia"/>
          <w:color w:val="auto"/>
          <w:highlight w:val="none"/>
        </w:rPr>
        <w:t>评委会只对通过</w:t>
      </w:r>
      <w:r>
        <w:rPr>
          <w:rFonts w:hint="eastAsia"/>
          <w:color w:val="auto"/>
          <w:highlight w:val="none"/>
          <w:lang w:val="en-US" w:eastAsia="zh-CN"/>
        </w:rPr>
        <w:t>符合性检查</w:t>
      </w:r>
      <w:r>
        <w:rPr>
          <w:rFonts w:hint="eastAsia"/>
          <w:color w:val="auto"/>
          <w:highlight w:val="none"/>
        </w:rPr>
        <w:t>的投标文件，根据招标文件的要求采用相同的评标程序、评分办法及标准进行评价和比较。</w:t>
      </w:r>
    </w:p>
    <w:p>
      <w:pPr>
        <w:pStyle w:val="37"/>
        <w:numPr>
          <w:ilvl w:val="1"/>
          <w:numId w:val="31"/>
        </w:numPr>
        <w:bidi w:val="0"/>
        <w:rPr>
          <w:rFonts w:hint="eastAsia"/>
          <w:color w:val="auto"/>
          <w:highlight w:val="none"/>
        </w:rPr>
      </w:pPr>
      <w:r>
        <w:rPr>
          <w:rFonts w:hint="eastAsia"/>
          <w:color w:val="auto"/>
          <w:highlight w:val="none"/>
        </w:rPr>
        <w:t>本次综合评分的因素是：</w:t>
      </w:r>
      <w:r>
        <w:rPr>
          <w:rFonts w:hint="eastAsia"/>
          <w:color w:val="auto"/>
          <w:highlight w:val="none"/>
          <w:lang w:val="en-US" w:eastAsia="zh-CN"/>
        </w:rPr>
        <w:t>详见“</w:t>
      </w:r>
      <w:r>
        <w:rPr>
          <w:rFonts w:hint="eastAsia"/>
          <w:color w:val="auto"/>
          <w:highlight w:val="none"/>
        </w:rPr>
        <w:t>综合评分明细表</w:t>
      </w:r>
      <w:r>
        <w:rPr>
          <w:rFonts w:hint="eastAsia"/>
          <w:color w:val="auto"/>
          <w:highlight w:val="none"/>
          <w:lang w:val="en-US" w:eastAsia="zh-CN"/>
        </w:rPr>
        <w:t>中的评分因素及权重”。</w:t>
      </w:r>
    </w:p>
    <w:p>
      <w:pPr>
        <w:pStyle w:val="37"/>
        <w:numPr>
          <w:ilvl w:val="1"/>
          <w:numId w:val="31"/>
        </w:numPr>
        <w:bidi w:val="0"/>
        <w:rPr>
          <w:rFonts w:hint="eastAsia"/>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7"/>
        <w:numPr>
          <w:ilvl w:val="1"/>
          <w:numId w:val="31"/>
        </w:numPr>
        <w:bidi w:val="0"/>
        <w:rPr>
          <w:rFonts w:hint="eastAsia"/>
          <w:color w:val="auto"/>
          <w:highlight w:val="none"/>
        </w:rPr>
      </w:pPr>
      <w:r>
        <w:rPr>
          <w:rFonts w:hint="eastAsia"/>
          <w:color w:val="auto"/>
          <w:highlight w:val="none"/>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评审得分＝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A1＋A2＋……＋An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B1＋B2＋……＋Bn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NB＋</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C1＋C2＋……＋Cn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NC＋</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D1＋D2＋……＋Dn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asciiTheme="minorEastAsia" w:hAnsiTheme="minorEastAsia" w:eastAsiaTheme="minorEastAsia" w:cstheme="minorEastAsia"/>
          <w:color w:val="auto"/>
          <w:sz w:val="24"/>
          <w:szCs w:val="24"/>
          <w:highlight w:val="none"/>
        </w:rPr>
        <w:t>A1、A2……An分别为每个经济类评委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的打分，NA为经济类评委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人数；B1、B2＋……Bn 分别为每个技术类评委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的打分，NB为技术类评委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人数；C1、C2……Cn 分别为每个政策合同类评委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的打分，NC为政策合同类评委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人数；D1、D2……Dn 分别为评审委员会每个成员的打分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共同评分类</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，ND为评审委员会人数</w:t>
      </w:r>
      <w:r>
        <w:rPr>
          <w:rFonts w:hint="eastAsia" w:asciiTheme="minorEastAsia" w:hAnsiTheme="minorEastAsia" w:eastAsiaTheme="minorEastAsia" w:cstheme="minorEastAsia"/>
          <w:color w:val="auto"/>
          <w:sz w:val="24"/>
          <w:szCs w:val="24"/>
          <w:highlight w:val="none"/>
          <w:lang w:eastAsia="zh-CN"/>
        </w:rPr>
        <w:t>。</w:t>
      </w:r>
    </w:p>
    <w:p>
      <w:pPr>
        <w:pStyle w:val="37"/>
        <w:bidi w:val="0"/>
        <w:rPr>
          <w:rFonts w:hint="eastAsia"/>
          <w:color w:val="auto"/>
          <w:highlight w:val="none"/>
        </w:rPr>
      </w:pPr>
      <w:r>
        <w:rPr>
          <w:rFonts w:hint="eastAsia"/>
          <w:color w:val="auto"/>
          <w:highlight w:val="none"/>
        </w:rPr>
        <w:t>综合评分明细表</w:t>
      </w:r>
    </w:p>
    <w:p>
      <w:pPr>
        <w:pStyle w:val="39"/>
        <w:bidi w:val="0"/>
        <w:rPr>
          <w:rFonts w:hint="eastAsia"/>
          <w:color w:val="auto"/>
          <w:highlight w:val="none"/>
        </w:rPr>
      </w:pPr>
      <w:r>
        <w:rPr>
          <w:rFonts w:hint="eastAsia"/>
          <w:color w:val="auto"/>
          <w:highlight w:val="none"/>
        </w:rPr>
        <w:t>综合评分明细表的制定以科学合理、降低评委会自由裁量权为原则。</w:t>
      </w:r>
    </w:p>
    <w:p>
      <w:pPr>
        <w:pStyle w:val="39"/>
        <w:bidi w:val="0"/>
        <w:rPr>
          <w:rFonts w:hint="eastAsia"/>
          <w:color w:val="auto"/>
          <w:highlight w:val="none"/>
        </w:rPr>
      </w:pPr>
      <w:r>
        <w:rPr>
          <w:rFonts w:hint="eastAsia"/>
          <w:color w:val="auto"/>
          <w:highlight w:val="none"/>
        </w:rPr>
        <w:t>综合评分明细表</w:t>
      </w:r>
    </w:p>
    <w:tbl>
      <w:tblPr>
        <w:tblStyle w:val="19"/>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79"/>
        <w:gridCol w:w="925"/>
        <w:gridCol w:w="5850"/>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79"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925"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8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评分标准</w:t>
            </w:r>
          </w:p>
        </w:tc>
        <w:tc>
          <w:tcPr>
            <w:tcW w:w="954"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1179"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25"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5850"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投标报价(40岁以下</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男)得分=(评标基准价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投标报价(40岁以下</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已婚女)得分=(评标基准价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投标报价(40岁以下</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未婚女)得分=(评标基准价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投标报价)×0.5%×100；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投标报价(40岁及以上</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男)得分=(评标基准价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投标报价(40岁及以上</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已婚女)得分=(评标基准价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投标报价(40岁及以上</w:t>
            </w:r>
            <w:r>
              <w:rPr>
                <w:rFonts w:hint="eastAsia" w:ascii="宋体" w:hAnsi="宋体" w:eastAsia="宋体" w:cs="宋体"/>
                <w:color w:val="auto"/>
                <w:sz w:val="21"/>
                <w:szCs w:val="21"/>
                <w:highlight w:val="none"/>
                <w:lang w:val="en-US" w:eastAsia="zh-CN"/>
              </w:rPr>
              <w:t>在职</w:t>
            </w:r>
            <w:r>
              <w:rPr>
                <w:rFonts w:hint="eastAsia" w:ascii="宋体" w:hAnsi="宋体" w:eastAsia="宋体" w:cs="宋体"/>
                <w:color w:val="auto"/>
                <w:sz w:val="21"/>
                <w:szCs w:val="21"/>
                <w:highlight w:val="none"/>
                <w:lang w:eastAsia="zh-CN"/>
              </w:rPr>
              <w:t>未婚女)得分=(评标基准价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投标报价)×0.5%×100；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投标报价(退休职工男)得分=(评标基准价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投标报价(退休职工女)得分=(评标基准价</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投标报价)×1.5%×100；</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报价得分为上述</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项之和。</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注：1.小微企业(残疾人福利性单位、监狱企业视同小微企业)价格扣除按照本招标文件投标人须知</w:t>
            </w:r>
            <w:r>
              <w:rPr>
                <w:rFonts w:hint="eastAsia" w:ascii="宋体" w:hAnsi="宋体" w:eastAsia="宋体" w:cs="宋体"/>
                <w:b/>
                <w:bCs/>
                <w:color w:val="auto"/>
                <w:sz w:val="21"/>
                <w:szCs w:val="21"/>
                <w:highlight w:val="none"/>
                <w:lang w:val="en-US" w:eastAsia="zh-CN"/>
              </w:rPr>
              <w:t>前</w:t>
            </w:r>
            <w:r>
              <w:rPr>
                <w:rFonts w:hint="eastAsia" w:ascii="宋体" w:hAnsi="宋体" w:eastAsia="宋体" w:cs="宋体"/>
                <w:b/>
                <w:bCs/>
                <w:color w:val="auto"/>
                <w:sz w:val="21"/>
                <w:szCs w:val="21"/>
                <w:highlight w:val="none"/>
              </w:rPr>
              <w:t>附表规定执行。</w:t>
            </w:r>
          </w:p>
          <w:p>
            <w:pPr>
              <w:pStyle w:val="45"/>
              <w:keepNext w:val="0"/>
              <w:keepLines w:val="0"/>
              <w:pageBreakBefore w:val="0"/>
              <w:widowControl w:val="0"/>
              <w:kinsoku/>
              <w:wordWrap w:val="0"/>
              <w:overflowPunct/>
              <w:topLine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2.评标过程中，不得去掉报价中的最高报价和最低报价。</w:t>
            </w:r>
          </w:p>
          <w:p>
            <w:pPr>
              <w:pStyle w:val="45"/>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3.因落实政府采购政策进行价格调整的，以调整后的价格计算评标基准价和投标报价。</w:t>
            </w:r>
          </w:p>
        </w:tc>
        <w:tc>
          <w:tcPr>
            <w:tcW w:w="954"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1179"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服务要求</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925"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5850" w:type="dxa"/>
            <w:vAlign w:val="center"/>
          </w:tcPr>
          <w:p>
            <w:pPr>
              <w:pStyle w:val="45"/>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供应商完全响应</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项目实施要求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非实质性要求</w:t>
            </w:r>
            <w:r>
              <w:rPr>
                <w:rFonts w:hint="eastAsia" w:ascii="宋体" w:hAnsi="宋体" w:eastAsia="宋体" w:cs="宋体"/>
                <w:color w:val="auto"/>
                <w:sz w:val="21"/>
                <w:szCs w:val="21"/>
                <w:highlight w:val="none"/>
              </w:rPr>
              <w:t>，没有负偏离得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分；每有一项</w:t>
            </w:r>
            <w:r>
              <w:rPr>
                <w:rFonts w:hint="eastAsia" w:ascii="宋体" w:hAnsi="宋体" w:eastAsia="宋体" w:cs="宋体"/>
                <w:color w:val="auto"/>
                <w:sz w:val="21"/>
                <w:szCs w:val="21"/>
                <w:highlight w:val="none"/>
                <w:lang w:val="en-US" w:eastAsia="zh-CN"/>
              </w:rPr>
              <w:t>(共6项)非</w:t>
            </w:r>
            <w:r>
              <w:rPr>
                <w:rFonts w:hint="eastAsia" w:ascii="宋体" w:hAnsi="宋体" w:eastAsia="宋体" w:cs="宋体"/>
                <w:color w:val="auto"/>
                <w:sz w:val="21"/>
                <w:szCs w:val="21"/>
                <w:highlight w:val="none"/>
              </w:rPr>
              <w:t>“★”号的</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有负偏离的扣</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扣完为止</w:t>
            </w:r>
            <w:r>
              <w:rPr>
                <w:rFonts w:hint="eastAsia" w:ascii="宋体" w:hAnsi="宋体" w:eastAsia="宋体" w:cs="宋体"/>
                <w:color w:val="auto"/>
                <w:sz w:val="21"/>
                <w:szCs w:val="21"/>
                <w:highlight w:val="none"/>
                <w:lang w:eastAsia="zh-CN"/>
              </w:rPr>
              <w:t>。</w:t>
            </w:r>
          </w:p>
        </w:tc>
        <w:tc>
          <w:tcPr>
            <w:tcW w:w="954"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p>
        </w:tc>
        <w:tc>
          <w:tcPr>
            <w:tcW w:w="1179"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服务方案</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w:t>
            </w:r>
          </w:p>
        </w:tc>
        <w:tc>
          <w:tcPr>
            <w:tcW w:w="925"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5850"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根据投标人针对本项目制定的体检服务方案(①体检前的服务内容及安排；②体检中的服务内容及安排；③体检后的服务内容及安排；④体检场地安排)进行综合评审，方面内容完整全面、与项目技术需求吻合、思路清晰、层次结构细化，有具体详细的阐述且符合项目要求的得10分；每有一项内容缺项的扣2.5分，扣完为止；每项中有一处存在错误的扣0.5分，此项分值扣完为止。</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根据投标人针对采购人体检发现疾病需进一步治疗制定的治疗服务方案(包含①提供就医绿色通道安排；②复检安排；③挂号安排；④办理住院安排；⑤专家会诊安排)进行综合评审，方面内容完整全面、与项目技术需求吻合、思路清晰、层次结构细化，有具体详细的阐述且符合项目要求的得10分；每有一项内容缺项的扣2分，扣完为止；每项中有一处存在错误的扣0.5分，此项分值扣完为止。</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根据投标人制定的质控保障方案(包括①质控管理机构、②质控岗位职责划分、③质控手段、④质控目标、⑤质控范围)进行综合评审，方面内容完整全面、与项目技术需求吻合、思路清晰、层次结构细化，有具体详细的阐述且符合项目要求的得10分；每有一项内容缺项的扣2分，扣完为止；每项中有一处存在错误的扣0.5分，此项分值扣完为止。</w:t>
            </w:r>
          </w:p>
          <w:p>
            <w:pPr>
              <w:keepNext w:val="0"/>
              <w:keepLines w:val="0"/>
              <w:pageBreakBefore w:val="0"/>
              <w:widowControl w:val="0"/>
              <w:kinsoku/>
              <w:wordWrap w:val="0"/>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注：内容存在错误是指</w:t>
            </w:r>
            <w:r>
              <w:rPr>
                <w:rFonts w:hint="eastAsia" w:ascii="宋体" w:hAnsi="宋体" w:eastAsia="宋体" w:cs="宋体"/>
                <w:snapToGrid w:val="0"/>
                <w:color w:val="auto"/>
                <w:kern w:val="2"/>
                <w:sz w:val="21"/>
                <w:szCs w:val="21"/>
                <w:highlight w:val="none"/>
                <w:lang w:val="en-US" w:eastAsia="zh-CN" w:bidi="ar-SA"/>
              </w:rPr>
              <w:t>：该方面内容体现不齐全；阐述存在逻辑错误；</w:t>
            </w:r>
            <w:r>
              <w:rPr>
                <w:rFonts w:hint="eastAsia" w:ascii="宋体" w:hAnsi="宋体" w:eastAsia="宋体" w:cs="宋体"/>
                <w:color w:val="auto"/>
                <w:sz w:val="21"/>
                <w:szCs w:val="21"/>
                <w:highlight w:val="none"/>
              </w:rPr>
              <w:t>涉及内容无重点，</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能体现出本项目的特点</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与本项目实际</w:t>
            </w:r>
            <w:r>
              <w:rPr>
                <w:rFonts w:hint="eastAsia" w:ascii="宋体" w:hAnsi="宋体" w:eastAsia="宋体" w:cs="宋体"/>
                <w:color w:val="auto"/>
                <w:sz w:val="21"/>
                <w:szCs w:val="21"/>
                <w:highlight w:val="none"/>
                <w:lang w:val="en-US" w:eastAsia="zh-CN"/>
              </w:rPr>
              <w:t>需求</w:t>
            </w:r>
            <w:r>
              <w:rPr>
                <w:rFonts w:hint="eastAsia" w:ascii="宋体" w:hAnsi="宋体" w:eastAsia="宋体" w:cs="宋体"/>
                <w:color w:val="auto"/>
                <w:sz w:val="21"/>
                <w:szCs w:val="21"/>
                <w:highlight w:val="none"/>
              </w:rPr>
              <w:t>不完全相符</w:t>
            </w:r>
            <w:r>
              <w:rPr>
                <w:rFonts w:hint="eastAsia" w:ascii="宋体" w:hAnsi="宋体" w:eastAsia="宋体" w:cs="宋体"/>
                <w:color w:val="auto"/>
                <w:sz w:val="21"/>
                <w:szCs w:val="21"/>
                <w:highlight w:val="none"/>
                <w:lang w:eastAsia="zh-CN"/>
              </w:rPr>
              <w:t>；</w:t>
            </w:r>
            <w:r>
              <w:rPr>
                <w:rFonts w:hint="eastAsia" w:ascii="宋体" w:hAnsi="宋体" w:eastAsia="宋体" w:cs="宋体"/>
                <w:snapToGrid w:val="0"/>
                <w:color w:val="auto"/>
                <w:kern w:val="2"/>
                <w:sz w:val="21"/>
                <w:szCs w:val="21"/>
                <w:highlight w:val="none"/>
                <w:lang w:val="en-US" w:eastAsia="zh-CN" w:bidi="ar-SA"/>
              </w:rPr>
              <w:t>语言错误或存在歧义，项目名称、实施地点与本项目不一致等</w:t>
            </w:r>
            <w:r>
              <w:rPr>
                <w:rFonts w:hint="eastAsia" w:ascii="宋体" w:hAnsi="宋体" w:eastAsia="宋体" w:cs="宋体"/>
                <w:color w:val="auto"/>
                <w:kern w:val="2"/>
                <w:sz w:val="21"/>
                <w:szCs w:val="21"/>
                <w:highlight w:val="none"/>
                <w:lang w:val="en-US" w:eastAsia="zh-CN" w:bidi="ar-SA"/>
              </w:rPr>
              <w:t>。</w:t>
            </w:r>
          </w:p>
        </w:tc>
        <w:tc>
          <w:tcPr>
            <w:tcW w:w="954"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Merge w:val="restart"/>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w:t>
            </w:r>
          </w:p>
        </w:tc>
        <w:tc>
          <w:tcPr>
            <w:tcW w:w="1179" w:type="dxa"/>
            <w:vMerge w:val="restart"/>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综合服务能力</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55.5</w:t>
            </w:r>
            <w:r>
              <w:rPr>
                <w:rFonts w:hint="eastAsia" w:ascii="宋体" w:hAnsi="宋体" w:eastAsia="宋体" w:cs="宋体"/>
                <w:color w:val="auto"/>
                <w:sz w:val="21"/>
                <w:szCs w:val="21"/>
                <w:highlight w:val="none"/>
              </w:rPr>
              <w:t>%</w:t>
            </w:r>
          </w:p>
        </w:tc>
        <w:tc>
          <w:tcPr>
            <w:tcW w:w="925"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医资</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力量</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850"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根据投标人针对本项目拟派的</w:t>
            </w:r>
            <w:r>
              <w:rPr>
                <w:rFonts w:hint="eastAsia" w:ascii="宋体" w:hAnsi="宋体" w:eastAsia="宋体" w:cs="宋体"/>
                <w:color w:val="auto"/>
                <w:sz w:val="21"/>
                <w:szCs w:val="21"/>
                <w:highlight w:val="none"/>
                <w:lang w:val="en-US" w:eastAsia="zh-CN"/>
              </w:rPr>
              <w:t>医资力量</w:t>
            </w:r>
            <w:r>
              <w:rPr>
                <w:rFonts w:hint="eastAsia" w:ascii="宋体" w:hAnsi="宋体" w:eastAsia="宋体" w:cs="宋体"/>
                <w:color w:val="auto"/>
                <w:sz w:val="21"/>
                <w:szCs w:val="21"/>
                <w:highlight w:val="none"/>
              </w:rPr>
              <w:t>情况，按以下标准进行评分：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投标人为本项目拟配置的妇科医生</w:t>
            </w:r>
            <w:r>
              <w:rPr>
                <w:rFonts w:hint="eastAsia" w:ascii="宋体" w:hAnsi="宋体" w:eastAsia="宋体" w:cs="宋体"/>
                <w:color w:val="auto"/>
                <w:sz w:val="21"/>
                <w:szCs w:val="21"/>
                <w:highlight w:val="none"/>
                <w:lang w:val="en-US" w:eastAsia="zh-CN"/>
              </w:rPr>
              <w:t>在具有1名</w:t>
            </w:r>
            <w:r>
              <w:rPr>
                <w:rFonts w:hint="eastAsia" w:ascii="宋体" w:hAnsi="宋体" w:eastAsia="宋体" w:cs="宋体"/>
                <w:color w:val="auto"/>
                <w:sz w:val="21"/>
                <w:szCs w:val="21"/>
                <w:highlight w:val="none"/>
              </w:rPr>
              <w:t>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职称医生的</w:t>
            </w:r>
            <w:r>
              <w:rPr>
                <w:rFonts w:hint="eastAsia" w:ascii="宋体" w:hAnsi="宋体" w:eastAsia="宋体" w:cs="宋体"/>
                <w:color w:val="auto"/>
                <w:sz w:val="21"/>
                <w:szCs w:val="21"/>
                <w:highlight w:val="none"/>
                <w:lang w:val="en-US" w:eastAsia="zh-CN"/>
              </w:rPr>
              <w:t>基础上，</w:t>
            </w:r>
            <w:r>
              <w:rPr>
                <w:rFonts w:hint="eastAsia" w:ascii="宋体" w:hAnsi="宋体" w:eastAsia="宋体" w:cs="宋体"/>
                <w:color w:val="auto"/>
                <w:sz w:val="21"/>
                <w:szCs w:val="21"/>
                <w:highlight w:val="none"/>
                <w:lang w:eastAsia="zh-CN"/>
              </w:rPr>
              <w:t>每</w:t>
            </w:r>
            <w:r>
              <w:rPr>
                <w:rFonts w:hint="eastAsia" w:ascii="宋体" w:hAnsi="宋体" w:eastAsia="宋体" w:cs="宋体"/>
                <w:color w:val="auto"/>
                <w:sz w:val="21"/>
                <w:szCs w:val="21"/>
                <w:highlight w:val="none"/>
                <w:lang w:val="en-US" w:eastAsia="zh-CN"/>
              </w:rPr>
              <w:t>增加</w:t>
            </w:r>
            <w:r>
              <w:rPr>
                <w:rFonts w:hint="eastAsia" w:ascii="宋体" w:hAnsi="宋体" w:eastAsia="宋体" w:cs="宋体"/>
                <w:color w:val="auto"/>
                <w:sz w:val="21"/>
                <w:szCs w:val="21"/>
                <w:highlight w:val="none"/>
              </w:rPr>
              <w:t>一个有正高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分，副高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分，中级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w:t>
            </w:r>
            <w:r>
              <w:rPr>
                <w:rFonts w:hint="eastAsia" w:ascii="宋体" w:hAnsi="宋体" w:eastAsia="宋体" w:cs="宋体"/>
                <w:color w:val="auto"/>
                <w:sz w:val="21"/>
                <w:szCs w:val="21"/>
                <w:highlight w:val="none"/>
                <w:lang w:val="en-US" w:eastAsia="zh-CN"/>
              </w:rPr>
              <w:t>医生</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每类职称级别的医生不超过</w:t>
            </w:r>
            <w:r>
              <w:rPr>
                <w:rFonts w:hint="eastAsia" w:ascii="宋体" w:hAnsi="宋体" w:eastAsia="宋体" w:cs="宋体"/>
                <w:color w:val="auto"/>
                <w:sz w:val="21"/>
                <w:szCs w:val="21"/>
                <w:highlight w:val="none"/>
                <w:lang w:val="en-US" w:eastAsia="zh-CN"/>
              </w:rPr>
              <w:t>2名，</w:t>
            </w:r>
            <w:r>
              <w:rPr>
                <w:rFonts w:hint="eastAsia" w:ascii="宋体" w:hAnsi="宋体" w:eastAsia="宋体" w:cs="宋体"/>
                <w:color w:val="auto"/>
                <w:sz w:val="21"/>
                <w:szCs w:val="21"/>
                <w:highlight w:val="none"/>
              </w:rPr>
              <w:t>本项最多得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投标人为本项目拟配置的超声科医生</w:t>
            </w:r>
            <w:r>
              <w:rPr>
                <w:rFonts w:hint="eastAsia" w:ascii="宋体" w:hAnsi="宋体" w:eastAsia="宋体" w:cs="宋体"/>
                <w:color w:val="auto"/>
                <w:sz w:val="21"/>
                <w:szCs w:val="21"/>
                <w:highlight w:val="none"/>
                <w:lang w:val="en-US" w:eastAsia="zh-CN"/>
              </w:rPr>
              <w:t>在具有1名</w:t>
            </w:r>
            <w:r>
              <w:rPr>
                <w:rFonts w:hint="eastAsia" w:ascii="宋体" w:hAnsi="宋体" w:eastAsia="宋体" w:cs="宋体"/>
                <w:color w:val="auto"/>
                <w:sz w:val="21"/>
                <w:szCs w:val="21"/>
                <w:highlight w:val="none"/>
              </w:rPr>
              <w:t>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职称医生的</w:t>
            </w:r>
            <w:r>
              <w:rPr>
                <w:rFonts w:hint="eastAsia" w:ascii="宋体" w:hAnsi="宋体" w:eastAsia="宋体" w:cs="宋体"/>
                <w:color w:val="auto"/>
                <w:sz w:val="21"/>
                <w:szCs w:val="21"/>
                <w:highlight w:val="none"/>
                <w:lang w:val="en-US" w:eastAsia="zh-CN"/>
              </w:rPr>
              <w:t>基础上，</w:t>
            </w:r>
            <w:r>
              <w:rPr>
                <w:rFonts w:hint="eastAsia" w:ascii="宋体" w:hAnsi="宋体" w:eastAsia="宋体" w:cs="宋体"/>
                <w:color w:val="auto"/>
                <w:sz w:val="21"/>
                <w:szCs w:val="21"/>
                <w:highlight w:val="none"/>
                <w:lang w:eastAsia="zh-CN"/>
              </w:rPr>
              <w:t>每</w:t>
            </w:r>
            <w:r>
              <w:rPr>
                <w:rFonts w:hint="eastAsia" w:ascii="宋体" w:hAnsi="宋体" w:eastAsia="宋体" w:cs="宋体"/>
                <w:color w:val="auto"/>
                <w:sz w:val="21"/>
                <w:szCs w:val="21"/>
                <w:highlight w:val="none"/>
                <w:lang w:val="en-US" w:eastAsia="zh-CN"/>
              </w:rPr>
              <w:t>增加</w:t>
            </w:r>
            <w:r>
              <w:rPr>
                <w:rFonts w:hint="eastAsia" w:ascii="宋体" w:hAnsi="宋体" w:eastAsia="宋体" w:cs="宋体"/>
                <w:color w:val="auto"/>
                <w:sz w:val="21"/>
                <w:szCs w:val="21"/>
                <w:highlight w:val="none"/>
              </w:rPr>
              <w:t>一个有正高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分，副高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分，中级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w:t>
            </w:r>
            <w:r>
              <w:rPr>
                <w:rFonts w:hint="eastAsia" w:ascii="宋体" w:hAnsi="宋体" w:eastAsia="宋体" w:cs="宋体"/>
                <w:color w:val="auto"/>
                <w:sz w:val="21"/>
                <w:szCs w:val="21"/>
                <w:highlight w:val="none"/>
                <w:lang w:val="en-US" w:eastAsia="zh-CN"/>
              </w:rPr>
              <w:t>医生</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每类职称级别的医生不超过</w:t>
            </w:r>
            <w:r>
              <w:rPr>
                <w:rFonts w:hint="eastAsia" w:ascii="宋体" w:hAnsi="宋体" w:eastAsia="宋体" w:cs="宋体"/>
                <w:color w:val="auto"/>
                <w:sz w:val="21"/>
                <w:szCs w:val="21"/>
                <w:highlight w:val="none"/>
                <w:lang w:val="en-US" w:eastAsia="zh-CN"/>
              </w:rPr>
              <w:t>2名，</w:t>
            </w:r>
            <w:r>
              <w:rPr>
                <w:rFonts w:hint="eastAsia" w:ascii="宋体" w:hAnsi="宋体" w:eastAsia="宋体" w:cs="宋体"/>
                <w:color w:val="auto"/>
                <w:sz w:val="21"/>
                <w:szCs w:val="21"/>
                <w:highlight w:val="none"/>
              </w:rPr>
              <w:t>本项最多得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投标人为本项目拟配置的内科医生</w:t>
            </w:r>
            <w:r>
              <w:rPr>
                <w:rFonts w:hint="eastAsia" w:ascii="宋体" w:hAnsi="宋体" w:eastAsia="宋体" w:cs="宋体"/>
                <w:color w:val="auto"/>
                <w:sz w:val="21"/>
                <w:szCs w:val="21"/>
                <w:highlight w:val="none"/>
                <w:lang w:val="en-US" w:eastAsia="zh-CN"/>
              </w:rPr>
              <w:t>在具有1名</w:t>
            </w:r>
            <w:r>
              <w:rPr>
                <w:rFonts w:hint="eastAsia" w:ascii="宋体" w:hAnsi="宋体" w:eastAsia="宋体" w:cs="宋体"/>
                <w:color w:val="auto"/>
                <w:sz w:val="21"/>
                <w:szCs w:val="21"/>
                <w:highlight w:val="none"/>
              </w:rPr>
              <w:t>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职称医生的</w:t>
            </w:r>
            <w:r>
              <w:rPr>
                <w:rFonts w:hint="eastAsia" w:ascii="宋体" w:hAnsi="宋体" w:eastAsia="宋体" w:cs="宋体"/>
                <w:color w:val="auto"/>
                <w:sz w:val="21"/>
                <w:szCs w:val="21"/>
                <w:highlight w:val="none"/>
                <w:lang w:val="en-US" w:eastAsia="zh-CN"/>
              </w:rPr>
              <w:t>基础上，</w:t>
            </w:r>
            <w:r>
              <w:rPr>
                <w:rFonts w:hint="eastAsia" w:ascii="宋体" w:hAnsi="宋体" w:eastAsia="宋体" w:cs="宋体"/>
                <w:color w:val="auto"/>
                <w:sz w:val="21"/>
                <w:szCs w:val="21"/>
                <w:highlight w:val="none"/>
                <w:lang w:eastAsia="zh-CN"/>
              </w:rPr>
              <w:t>每</w:t>
            </w:r>
            <w:r>
              <w:rPr>
                <w:rFonts w:hint="eastAsia" w:ascii="宋体" w:hAnsi="宋体" w:eastAsia="宋体" w:cs="宋体"/>
                <w:color w:val="auto"/>
                <w:sz w:val="21"/>
                <w:szCs w:val="21"/>
                <w:highlight w:val="none"/>
                <w:lang w:val="en-US" w:eastAsia="zh-CN"/>
              </w:rPr>
              <w:t>增加</w:t>
            </w:r>
            <w:r>
              <w:rPr>
                <w:rFonts w:hint="eastAsia" w:ascii="宋体" w:hAnsi="宋体" w:eastAsia="宋体" w:cs="宋体"/>
                <w:color w:val="auto"/>
                <w:sz w:val="21"/>
                <w:szCs w:val="21"/>
                <w:highlight w:val="none"/>
              </w:rPr>
              <w:t>一个有正高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分，副高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分，中级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w:t>
            </w:r>
            <w:r>
              <w:rPr>
                <w:rFonts w:hint="eastAsia" w:ascii="宋体" w:hAnsi="宋体" w:eastAsia="宋体" w:cs="宋体"/>
                <w:color w:val="auto"/>
                <w:sz w:val="21"/>
                <w:szCs w:val="21"/>
                <w:highlight w:val="none"/>
                <w:lang w:val="en-US" w:eastAsia="zh-CN"/>
              </w:rPr>
              <w:t>医生</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每类职称级别的医生不超过</w:t>
            </w:r>
            <w:r>
              <w:rPr>
                <w:rFonts w:hint="eastAsia" w:ascii="宋体" w:hAnsi="宋体" w:eastAsia="宋体" w:cs="宋体"/>
                <w:color w:val="auto"/>
                <w:sz w:val="21"/>
                <w:szCs w:val="21"/>
                <w:highlight w:val="none"/>
                <w:lang w:val="en-US" w:eastAsia="zh-CN"/>
              </w:rPr>
              <w:t>2名，</w:t>
            </w:r>
            <w:r>
              <w:rPr>
                <w:rFonts w:hint="eastAsia" w:ascii="宋体" w:hAnsi="宋体" w:eastAsia="宋体" w:cs="宋体"/>
                <w:color w:val="auto"/>
                <w:sz w:val="21"/>
                <w:szCs w:val="21"/>
                <w:highlight w:val="none"/>
              </w:rPr>
              <w:t>本项最多得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投标人为本项目拟配置的放射科医生</w:t>
            </w:r>
            <w:r>
              <w:rPr>
                <w:rFonts w:hint="eastAsia" w:ascii="宋体" w:hAnsi="宋体" w:eastAsia="宋体" w:cs="宋体"/>
                <w:color w:val="auto"/>
                <w:sz w:val="21"/>
                <w:szCs w:val="21"/>
                <w:highlight w:val="none"/>
                <w:lang w:val="en-US" w:eastAsia="zh-CN"/>
              </w:rPr>
              <w:t>在具有1名</w:t>
            </w:r>
            <w:r>
              <w:rPr>
                <w:rFonts w:hint="eastAsia" w:ascii="宋体" w:hAnsi="宋体" w:eastAsia="宋体" w:cs="宋体"/>
                <w:color w:val="auto"/>
                <w:sz w:val="21"/>
                <w:szCs w:val="21"/>
                <w:highlight w:val="none"/>
              </w:rPr>
              <w:t>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职称医生的</w:t>
            </w:r>
            <w:r>
              <w:rPr>
                <w:rFonts w:hint="eastAsia" w:ascii="宋体" w:hAnsi="宋体" w:eastAsia="宋体" w:cs="宋体"/>
                <w:color w:val="auto"/>
                <w:sz w:val="21"/>
                <w:szCs w:val="21"/>
                <w:highlight w:val="none"/>
                <w:lang w:val="en-US" w:eastAsia="zh-CN"/>
              </w:rPr>
              <w:t>基础上，</w:t>
            </w:r>
            <w:r>
              <w:rPr>
                <w:rFonts w:hint="eastAsia" w:ascii="宋体" w:hAnsi="宋体" w:eastAsia="宋体" w:cs="宋体"/>
                <w:color w:val="auto"/>
                <w:sz w:val="21"/>
                <w:szCs w:val="21"/>
                <w:highlight w:val="none"/>
                <w:lang w:eastAsia="zh-CN"/>
              </w:rPr>
              <w:t>每</w:t>
            </w:r>
            <w:r>
              <w:rPr>
                <w:rFonts w:hint="eastAsia" w:ascii="宋体" w:hAnsi="宋体" w:eastAsia="宋体" w:cs="宋体"/>
                <w:color w:val="auto"/>
                <w:sz w:val="21"/>
                <w:szCs w:val="21"/>
                <w:highlight w:val="none"/>
                <w:lang w:val="en-US" w:eastAsia="zh-CN"/>
              </w:rPr>
              <w:t>增加</w:t>
            </w:r>
            <w:r>
              <w:rPr>
                <w:rFonts w:hint="eastAsia" w:ascii="宋体" w:hAnsi="宋体" w:eastAsia="宋体" w:cs="宋体"/>
                <w:color w:val="auto"/>
                <w:sz w:val="21"/>
                <w:szCs w:val="21"/>
                <w:highlight w:val="none"/>
              </w:rPr>
              <w:t>一个有正高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分，副高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副主任医师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职称的医生得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分，中级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主治医师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职称的</w:t>
            </w:r>
            <w:r>
              <w:rPr>
                <w:rFonts w:hint="eastAsia" w:ascii="宋体" w:hAnsi="宋体" w:eastAsia="宋体" w:cs="宋体"/>
                <w:color w:val="auto"/>
                <w:sz w:val="21"/>
                <w:szCs w:val="21"/>
                <w:highlight w:val="none"/>
                <w:lang w:val="en-US" w:eastAsia="zh-CN"/>
              </w:rPr>
              <w:t>医生</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每类职称级别的医生不超过</w:t>
            </w:r>
            <w:r>
              <w:rPr>
                <w:rFonts w:hint="eastAsia" w:ascii="宋体" w:hAnsi="宋体" w:eastAsia="宋体" w:cs="宋体"/>
                <w:color w:val="auto"/>
                <w:sz w:val="21"/>
                <w:szCs w:val="21"/>
                <w:highlight w:val="none"/>
                <w:lang w:val="en-US" w:eastAsia="zh-CN"/>
              </w:rPr>
              <w:t>2名，</w:t>
            </w:r>
            <w:r>
              <w:rPr>
                <w:rFonts w:hint="eastAsia" w:ascii="宋体" w:hAnsi="宋体" w:eastAsia="宋体" w:cs="宋体"/>
                <w:color w:val="auto"/>
                <w:sz w:val="21"/>
                <w:szCs w:val="21"/>
                <w:highlight w:val="none"/>
              </w:rPr>
              <w:t>本项最多得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投标人为本项目拟配置的检验科医生</w:t>
            </w:r>
            <w:r>
              <w:rPr>
                <w:rFonts w:hint="eastAsia" w:ascii="宋体" w:hAnsi="宋体" w:eastAsia="宋体" w:cs="宋体"/>
                <w:color w:val="auto"/>
                <w:sz w:val="21"/>
                <w:szCs w:val="21"/>
                <w:highlight w:val="none"/>
                <w:lang w:val="en-US" w:eastAsia="zh-CN"/>
              </w:rPr>
              <w:t>在具有1名</w:t>
            </w:r>
            <w:r>
              <w:rPr>
                <w:rFonts w:hint="eastAsia" w:ascii="宋体" w:hAnsi="宋体" w:eastAsia="宋体" w:cs="宋体"/>
                <w:color w:val="auto"/>
                <w:sz w:val="21"/>
                <w:szCs w:val="21"/>
                <w:highlight w:val="none"/>
              </w:rPr>
              <w:t>主任技师职称医生的</w:t>
            </w:r>
            <w:r>
              <w:rPr>
                <w:rFonts w:hint="eastAsia" w:ascii="宋体" w:hAnsi="宋体" w:eastAsia="宋体" w:cs="宋体"/>
                <w:color w:val="auto"/>
                <w:sz w:val="21"/>
                <w:szCs w:val="21"/>
                <w:highlight w:val="none"/>
                <w:lang w:val="en-US" w:eastAsia="zh-CN"/>
              </w:rPr>
              <w:t>基础上，</w:t>
            </w:r>
            <w:r>
              <w:rPr>
                <w:rFonts w:hint="eastAsia" w:ascii="宋体" w:hAnsi="宋体" w:eastAsia="宋体" w:cs="宋体"/>
                <w:color w:val="auto"/>
                <w:sz w:val="21"/>
                <w:szCs w:val="21"/>
                <w:highlight w:val="none"/>
                <w:lang w:eastAsia="zh-CN"/>
              </w:rPr>
              <w:t>每</w:t>
            </w:r>
            <w:r>
              <w:rPr>
                <w:rFonts w:hint="eastAsia" w:ascii="宋体" w:hAnsi="宋体" w:eastAsia="宋体" w:cs="宋体"/>
                <w:color w:val="auto"/>
                <w:sz w:val="21"/>
                <w:szCs w:val="21"/>
                <w:highlight w:val="none"/>
                <w:lang w:val="en-US" w:eastAsia="zh-CN"/>
              </w:rPr>
              <w:t>增加</w:t>
            </w:r>
            <w:r>
              <w:rPr>
                <w:rFonts w:hint="eastAsia" w:ascii="宋体" w:hAnsi="宋体" w:eastAsia="宋体" w:cs="宋体"/>
                <w:color w:val="auto"/>
                <w:sz w:val="21"/>
                <w:szCs w:val="21"/>
                <w:highlight w:val="none"/>
              </w:rPr>
              <w:t>一个有主任技师职称的医生得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分，副主任技师职称的医生得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分，主治医师职称的</w:t>
            </w:r>
            <w:r>
              <w:rPr>
                <w:rFonts w:hint="eastAsia" w:ascii="宋体" w:hAnsi="宋体" w:eastAsia="宋体" w:cs="宋体"/>
                <w:color w:val="auto"/>
                <w:sz w:val="21"/>
                <w:szCs w:val="21"/>
                <w:highlight w:val="none"/>
                <w:lang w:val="en-US" w:eastAsia="zh-CN"/>
              </w:rPr>
              <w:t>医生</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每类职称级别的医生不超过</w:t>
            </w:r>
            <w:r>
              <w:rPr>
                <w:rFonts w:hint="eastAsia" w:ascii="宋体" w:hAnsi="宋体" w:eastAsia="宋体" w:cs="宋体"/>
                <w:color w:val="auto"/>
                <w:sz w:val="21"/>
                <w:szCs w:val="21"/>
                <w:highlight w:val="none"/>
                <w:lang w:val="en-US" w:eastAsia="zh-CN"/>
              </w:rPr>
              <w:t>2名，</w:t>
            </w:r>
            <w:r>
              <w:rPr>
                <w:rFonts w:hint="eastAsia" w:ascii="宋体" w:hAnsi="宋体" w:eastAsia="宋体" w:cs="宋体"/>
                <w:color w:val="auto"/>
                <w:sz w:val="21"/>
                <w:szCs w:val="21"/>
                <w:highlight w:val="none"/>
              </w:rPr>
              <w:t>本项最多得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textAlignment w:val="auto"/>
              <w:outlineLvl w:val="9"/>
              <w:rPr>
                <w:rFonts w:hint="eastAsia" w:ascii="宋体" w:hAnsi="宋体" w:eastAsia="宋体" w:cs="宋体"/>
                <w:snapToGrid w:val="0"/>
                <w:color w:val="auto"/>
                <w:sz w:val="21"/>
                <w:szCs w:val="21"/>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①投标人提供拟配妇科</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超声科</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内科</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放射科人员的医师资格证、医师执业证、职称证复印件，且医生执业地点与供应商名称一致</w:t>
            </w:r>
            <w:r>
              <w:rPr>
                <w:rFonts w:hint="eastAsia" w:ascii="宋体" w:hAnsi="宋体" w:eastAsia="宋体" w:cs="宋体"/>
                <w:b/>
                <w:bCs/>
                <w:color w:val="auto"/>
                <w:sz w:val="21"/>
                <w:szCs w:val="21"/>
                <w:highlight w:val="none"/>
                <w:lang w:eastAsia="zh-CN"/>
              </w:rPr>
              <w:t>(提供国家</w:t>
            </w:r>
            <w:r>
              <w:rPr>
                <w:rFonts w:hint="eastAsia" w:ascii="宋体" w:hAnsi="宋体" w:eastAsia="宋体" w:cs="宋体"/>
                <w:b/>
                <w:bCs/>
                <w:color w:val="auto"/>
                <w:sz w:val="21"/>
                <w:szCs w:val="21"/>
                <w:highlight w:val="none"/>
              </w:rPr>
              <w:t>卫健委</w:t>
            </w:r>
            <w:r>
              <w:rPr>
                <w:rFonts w:hint="eastAsia" w:ascii="宋体" w:hAnsi="宋体" w:eastAsia="宋体" w:cs="宋体"/>
                <w:b/>
                <w:bCs/>
                <w:color w:val="auto"/>
                <w:sz w:val="21"/>
                <w:szCs w:val="21"/>
                <w:highlight w:val="none"/>
                <w:lang w:eastAsia="zh-CN"/>
              </w:rPr>
              <w:t>官方查询</w:t>
            </w:r>
            <w:r>
              <w:rPr>
                <w:rFonts w:hint="eastAsia" w:ascii="宋体" w:hAnsi="宋体" w:eastAsia="宋体" w:cs="宋体"/>
                <w:b/>
                <w:bCs/>
                <w:color w:val="auto"/>
                <w:sz w:val="21"/>
                <w:szCs w:val="21"/>
                <w:highlight w:val="none"/>
              </w:rPr>
              <w:t>医生执业注册执业地和专业</w:t>
            </w:r>
            <w:r>
              <w:rPr>
                <w:rFonts w:hint="eastAsia" w:ascii="宋体" w:hAnsi="宋体" w:eastAsia="宋体" w:cs="宋体"/>
                <w:b/>
                <w:bCs/>
                <w:color w:val="auto"/>
                <w:sz w:val="21"/>
                <w:szCs w:val="21"/>
                <w:highlight w:val="none"/>
                <w:lang w:eastAsia="zh-CN"/>
              </w:rPr>
              <w:t>的截图照片)；</w:t>
            </w:r>
            <w:r>
              <w:rPr>
                <w:rFonts w:hint="eastAsia" w:ascii="宋体" w:hAnsi="宋体" w:eastAsia="宋体" w:cs="宋体"/>
                <w:b/>
                <w:bCs/>
                <w:color w:val="auto"/>
                <w:sz w:val="21"/>
                <w:szCs w:val="21"/>
                <w:highlight w:val="none"/>
              </w:rPr>
              <w:t>检验科</w:t>
            </w:r>
            <w:r>
              <w:rPr>
                <w:rFonts w:hint="eastAsia" w:ascii="宋体" w:hAnsi="宋体" w:eastAsia="宋体" w:cs="宋体"/>
                <w:b/>
                <w:bCs/>
                <w:color w:val="auto"/>
                <w:sz w:val="21"/>
                <w:szCs w:val="21"/>
                <w:highlight w:val="none"/>
                <w:lang w:val="en-US" w:eastAsia="zh-CN"/>
              </w:rPr>
              <w:t>医生提供</w:t>
            </w:r>
            <w:r>
              <w:rPr>
                <w:rFonts w:hint="eastAsia" w:ascii="宋体" w:hAnsi="宋体" w:eastAsia="宋体" w:cs="宋体"/>
                <w:b/>
                <w:bCs/>
                <w:color w:val="auto"/>
                <w:sz w:val="21"/>
                <w:szCs w:val="21"/>
                <w:highlight w:val="none"/>
              </w:rPr>
              <w:t>技师职称证</w:t>
            </w:r>
            <w:r>
              <w:rPr>
                <w:rFonts w:hint="eastAsia" w:ascii="宋体" w:hAnsi="宋体" w:eastAsia="宋体" w:cs="宋体"/>
                <w:b/>
                <w:bCs/>
                <w:color w:val="auto"/>
                <w:sz w:val="21"/>
                <w:szCs w:val="21"/>
                <w:highlight w:val="none"/>
                <w:lang w:val="en-US" w:eastAsia="zh-CN"/>
              </w:rPr>
              <w:t>复印件；</w:t>
            </w:r>
            <w:r>
              <w:rPr>
                <w:rFonts w:hint="eastAsia" w:ascii="宋体" w:hAnsi="宋体" w:eastAsia="宋体" w:cs="宋体"/>
                <w:b/>
                <w:bCs/>
                <w:color w:val="auto"/>
                <w:sz w:val="21"/>
                <w:szCs w:val="21"/>
                <w:highlight w:val="none"/>
              </w:rPr>
              <w:t>②投标人</w:t>
            </w:r>
            <w:r>
              <w:rPr>
                <w:rFonts w:hint="eastAsia" w:ascii="宋体" w:hAnsi="宋体" w:eastAsia="宋体" w:cs="宋体"/>
                <w:b/>
                <w:bCs/>
                <w:color w:val="auto"/>
                <w:sz w:val="21"/>
                <w:szCs w:val="21"/>
                <w:highlight w:val="none"/>
                <w:lang w:val="en-US" w:eastAsia="zh-CN"/>
              </w:rPr>
              <w:t>提供拟配人员在职证明</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投标人与拟配人员签订的劳务或劳动合同复印件</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③</w:t>
            </w:r>
            <w:r>
              <w:rPr>
                <w:rFonts w:hint="eastAsia" w:ascii="宋体" w:hAnsi="宋体" w:eastAsia="宋体" w:cs="宋体"/>
                <w:b/>
                <w:bCs/>
                <w:color w:val="auto"/>
                <w:sz w:val="21"/>
                <w:szCs w:val="21"/>
                <w:highlight w:val="none"/>
              </w:rPr>
              <w:t>同一人不重复计分</w:t>
            </w:r>
            <w:r>
              <w:rPr>
                <w:rFonts w:hint="eastAsia" w:ascii="宋体" w:hAnsi="宋体" w:eastAsia="宋体" w:cs="宋体"/>
                <w:b/>
                <w:bCs/>
                <w:color w:val="auto"/>
                <w:sz w:val="21"/>
                <w:szCs w:val="21"/>
                <w:highlight w:val="none"/>
                <w:lang w:val="en-US" w:eastAsia="zh-CN"/>
              </w:rPr>
              <w:t>，以最高分值计取</w:t>
            </w:r>
            <w:r>
              <w:rPr>
                <w:rFonts w:hint="eastAsia" w:ascii="宋体" w:hAnsi="宋体" w:eastAsia="宋体" w:cs="宋体"/>
                <w:b/>
                <w:bCs/>
                <w:color w:val="auto"/>
                <w:sz w:val="21"/>
                <w:szCs w:val="21"/>
                <w:highlight w:val="none"/>
              </w:rPr>
              <w:t>。</w:t>
            </w:r>
          </w:p>
        </w:tc>
        <w:tc>
          <w:tcPr>
            <w:tcW w:w="954" w:type="dxa"/>
            <w:vMerge w:val="restart"/>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p>
        </w:tc>
        <w:tc>
          <w:tcPr>
            <w:tcW w:w="1179"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p>
        </w:tc>
        <w:tc>
          <w:tcPr>
            <w:tcW w:w="925"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医疗</w:t>
            </w:r>
          </w:p>
          <w:p>
            <w:pPr>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5850"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投标人独立配备用于本次体检项目的彩超设备数量</w:t>
            </w:r>
            <w:r>
              <w:rPr>
                <w:rFonts w:hint="eastAsia" w:ascii="宋体" w:hAnsi="宋体" w:eastAsia="宋体" w:cs="宋体"/>
                <w:color w:val="auto"/>
                <w:sz w:val="21"/>
                <w:szCs w:val="21"/>
                <w:highlight w:val="none"/>
                <w:lang w:eastAsia="zh-CN"/>
              </w:rPr>
              <w:t>在</w:t>
            </w:r>
            <w:r>
              <w:rPr>
                <w:rFonts w:hint="eastAsia" w:ascii="宋体" w:hAnsi="宋体" w:eastAsia="宋体" w:cs="宋体"/>
                <w:color w:val="auto"/>
                <w:sz w:val="21"/>
                <w:szCs w:val="21"/>
                <w:highlight w:val="none"/>
                <w:lang w:val="en-US" w:eastAsia="zh-CN"/>
              </w:rPr>
              <w:t>3台基础上</w:t>
            </w:r>
            <w:r>
              <w:rPr>
                <w:rFonts w:hint="eastAsia" w:ascii="宋体" w:hAnsi="宋体" w:eastAsia="宋体" w:cs="宋体"/>
                <w:color w:val="auto"/>
                <w:sz w:val="21"/>
                <w:szCs w:val="21"/>
                <w:highlight w:val="none"/>
              </w:rPr>
              <w:t>每增加1台加</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投标人独立配备用于本次体检项目的DR设备数量</w:t>
            </w:r>
            <w:r>
              <w:rPr>
                <w:rFonts w:hint="eastAsia" w:ascii="宋体" w:hAnsi="宋体" w:eastAsia="宋体" w:cs="宋体"/>
                <w:color w:val="auto"/>
                <w:sz w:val="21"/>
                <w:szCs w:val="21"/>
                <w:highlight w:val="none"/>
                <w:lang w:eastAsia="zh-CN"/>
              </w:rPr>
              <w:t>在</w:t>
            </w:r>
            <w:r>
              <w:rPr>
                <w:rFonts w:hint="eastAsia" w:ascii="宋体" w:hAnsi="宋体" w:eastAsia="宋体" w:cs="宋体"/>
                <w:color w:val="auto"/>
                <w:sz w:val="21"/>
                <w:szCs w:val="21"/>
                <w:highlight w:val="none"/>
                <w:lang w:val="en-US" w:eastAsia="zh-CN"/>
              </w:rPr>
              <w:t>1台基础上</w:t>
            </w:r>
            <w:r>
              <w:rPr>
                <w:rFonts w:hint="eastAsia" w:ascii="宋体" w:hAnsi="宋体" w:eastAsia="宋体" w:cs="宋体"/>
                <w:color w:val="auto"/>
                <w:sz w:val="21"/>
                <w:szCs w:val="21"/>
                <w:highlight w:val="none"/>
              </w:rPr>
              <w:t>每增加1台得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投标人独立配备用于本次体检项目的CT设备数量</w:t>
            </w:r>
            <w:r>
              <w:rPr>
                <w:rFonts w:hint="eastAsia" w:ascii="宋体" w:hAnsi="宋体" w:eastAsia="宋体" w:cs="宋体"/>
                <w:color w:val="auto"/>
                <w:sz w:val="21"/>
                <w:szCs w:val="21"/>
                <w:highlight w:val="none"/>
                <w:lang w:eastAsia="zh-CN"/>
              </w:rPr>
              <w:t>在</w:t>
            </w:r>
            <w:r>
              <w:rPr>
                <w:rFonts w:hint="eastAsia" w:ascii="宋体" w:hAnsi="宋体" w:eastAsia="宋体" w:cs="宋体"/>
                <w:color w:val="auto"/>
                <w:sz w:val="21"/>
                <w:szCs w:val="21"/>
                <w:highlight w:val="none"/>
                <w:lang w:val="en-US" w:eastAsia="zh-CN"/>
              </w:rPr>
              <w:t>1台基础上</w:t>
            </w:r>
            <w:r>
              <w:rPr>
                <w:rFonts w:hint="eastAsia" w:ascii="宋体" w:hAnsi="宋体" w:eastAsia="宋体" w:cs="宋体"/>
                <w:color w:val="auto"/>
                <w:sz w:val="21"/>
                <w:szCs w:val="21"/>
                <w:highlight w:val="none"/>
              </w:rPr>
              <w:t>每增加1台得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分，本项最高得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投标人独立配备用于本次体检项目的核磁设备数量，1台的得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分,增加1台加2分，最高得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eastAsia="zh-CN"/>
              </w:rPr>
              <w:t>智能采血、分拣系统</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得2分。</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①投标人提供用于本项目的设备照片</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同一设备提供2张照片，其中一张包含设备编码</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；②提供设备购买证明</w:t>
            </w:r>
            <w:r>
              <w:rPr>
                <w:rFonts w:hint="eastAsia" w:ascii="宋体" w:hAnsi="宋体" w:eastAsia="宋体" w:cs="宋体"/>
                <w:b/>
                <w:bCs/>
                <w:color w:val="auto"/>
                <w:sz w:val="21"/>
                <w:szCs w:val="21"/>
                <w:highlight w:val="none"/>
                <w:lang w:eastAsia="zh-CN"/>
              </w:rPr>
              <w:t>(购买合同复印件或者购买发票复印件)</w:t>
            </w:r>
            <w:r>
              <w:rPr>
                <w:rFonts w:hint="eastAsia" w:ascii="宋体" w:hAnsi="宋体" w:eastAsia="宋体" w:cs="宋体"/>
                <w:b/>
                <w:bCs/>
                <w:color w:val="auto"/>
                <w:sz w:val="21"/>
                <w:szCs w:val="21"/>
                <w:highlight w:val="none"/>
              </w:rPr>
              <w:t>或者租赁合同复印件</w:t>
            </w:r>
            <w:r>
              <w:rPr>
                <w:rFonts w:hint="eastAsia" w:ascii="宋体" w:hAnsi="宋体" w:eastAsia="宋体" w:cs="宋体"/>
                <w:b/>
                <w:bCs/>
                <w:color w:val="auto"/>
                <w:sz w:val="21"/>
                <w:szCs w:val="21"/>
                <w:highlight w:val="none"/>
                <w:lang w:eastAsia="zh-CN"/>
              </w:rPr>
              <w:t>。</w:t>
            </w:r>
          </w:p>
        </w:tc>
        <w:tc>
          <w:tcPr>
            <w:tcW w:w="954"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p>
        </w:tc>
        <w:tc>
          <w:tcPr>
            <w:tcW w:w="1179"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p>
        </w:tc>
        <w:tc>
          <w:tcPr>
            <w:tcW w:w="925" w:type="dxa"/>
            <w:vAlign w:val="center"/>
          </w:tcPr>
          <w:p>
            <w:pPr>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p>
          <w:p>
            <w:pPr>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实力</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w:t>
            </w:r>
          </w:p>
        </w:tc>
        <w:tc>
          <w:tcPr>
            <w:tcW w:w="5850" w:type="dxa"/>
            <w:vAlign w:val="center"/>
          </w:tcPr>
          <w:p>
            <w:pPr>
              <w:keepNext w:val="0"/>
              <w:keepLines w:val="0"/>
              <w:pageBreakBefore w:val="0"/>
              <w:widowControl w:val="0"/>
              <w:numPr>
                <w:ilvl w:val="0"/>
                <w:numId w:val="0"/>
              </w:numPr>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投标人取得卫生部临床检验中心全国尿液定量生化室间质评证书得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分；委托检验单位取得证书的得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提供投标人或委托检验单位的证书复印件</w:t>
            </w:r>
            <w:r>
              <w:rPr>
                <w:rFonts w:hint="eastAsia" w:ascii="宋体" w:hAnsi="宋体" w:eastAsia="宋体" w:cs="宋体"/>
                <w:b/>
                <w:bCs/>
                <w:color w:val="auto"/>
                <w:sz w:val="21"/>
                <w:szCs w:val="21"/>
                <w:highlight w:val="none"/>
                <w:lang w:eastAsia="zh-CN"/>
              </w:rPr>
              <w:t>，若</w:t>
            </w:r>
            <w:r>
              <w:rPr>
                <w:rFonts w:hint="eastAsia" w:ascii="宋体" w:hAnsi="宋体" w:eastAsia="宋体" w:cs="宋体"/>
                <w:b/>
                <w:bCs/>
                <w:color w:val="auto"/>
                <w:sz w:val="21"/>
                <w:szCs w:val="21"/>
                <w:highlight w:val="none"/>
              </w:rPr>
              <w:t>委托检验单位取得证书的</w:t>
            </w:r>
            <w:r>
              <w:rPr>
                <w:rFonts w:hint="eastAsia" w:ascii="宋体" w:hAnsi="宋体" w:eastAsia="宋体" w:cs="宋体"/>
                <w:b/>
                <w:bCs/>
                <w:color w:val="auto"/>
                <w:sz w:val="21"/>
                <w:szCs w:val="21"/>
                <w:highlight w:val="none"/>
                <w:lang w:eastAsia="zh-CN"/>
              </w:rPr>
              <w:t>需再提供委托合同或者协议。</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投标人取得卫生部临床检验中心全国脂类室间质评证书得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分；委托检验单位取得证书的得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提供投标人或委托检验单位的证书复印件</w:t>
            </w:r>
            <w:r>
              <w:rPr>
                <w:rFonts w:hint="eastAsia" w:ascii="宋体" w:hAnsi="宋体" w:eastAsia="宋体" w:cs="宋体"/>
                <w:b/>
                <w:bCs/>
                <w:color w:val="auto"/>
                <w:sz w:val="21"/>
                <w:szCs w:val="21"/>
                <w:highlight w:val="none"/>
                <w:lang w:eastAsia="zh-CN"/>
              </w:rPr>
              <w:t>，若</w:t>
            </w:r>
            <w:r>
              <w:rPr>
                <w:rFonts w:hint="eastAsia" w:ascii="宋体" w:hAnsi="宋体" w:eastAsia="宋体" w:cs="宋体"/>
                <w:b/>
                <w:bCs/>
                <w:color w:val="auto"/>
                <w:sz w:val="21"/>
                <w:szCs w:val="21"/>
                <w:highlight w:val="none"/>
              </w:rPr>
              <w:t>委托检验单位取得证书的</w:t>
            </w:r>
            <w:r>
              <w:rPr>
                <w:rFonts w:hint="eastAsia" w:ascii="宋体" w:hAnsi="宋体" w:eastAsia="宋体" w:cs="宋体"/>
                <w:b/>
                <w:bCs/>
                <w:color w:val="auto"/>
                <w:sz w:val="21"/>
                <w:szCs w:val="21"/>
                <w:highlight w:val="none"/>
                <w:lang w:eastAsia="zh-CN"/>
              </w:rPr>
              <w:t>需再提供委托合同或者协议。</w:t>
            </w:r>
          </w:p>
          <w:p>
            <w:pPr>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投标人取得卫生部临床检验中心全国肿瘤标志物室间质评证书得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分；委托检验单位取得证书的得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提供投标人或委托检验单位的证书复印件</w:t>
            </w:r>
            <w:r>
              <w:rPr>
                <w:rFonts w:hint="eastAsia" w:ascii="宋体" w:hAnsi="宋体" w:eastAsia="宋体" w:cs="宋体"/>
                <w:b/>
                <w:bCs/>
                <w:color w:val="auto"/>
                <w:sz w:val="21"/>
                <w:szCs w:val="21"/>
                <w:highlight w:val="none"/>
                <w:lang w:eastAsia="zh-CN"/>
              </w:rPr>
              <w:t>，若</w:t>
            </w:r>
            <w:r>
              <w:rPr>
                <w:rFonts w:hint="eastAsia" w:ascii="宋体" w:hAnsi="宋体" w:eastAsia="宋体" w:cs="宋体"/>
                <w:b/>
                <w:bCs/>
                <w:color w:val="auto"/>
                <w:sz w:val="21"/>
                <w:szCs w:val="21"/>
                <w:highlight w:val="none"/>
              </w:rPr>
              <w:t>委托检验单位取得证书的</w:t>
            </w:r>
            <w:r>
              <w:rPr>
                <w:rFonts w:hint="eastAsia" w:ascii="宋体" w:hAnsi="宋体" w:eastAsia="宋体" w:cs="宋体"/>
                <w:b/>
                <w:bCs/>
                <w:color w:val="auto"/>
                <w:sz w:val="21"/>
                <w:szCs w:val="21"/>
                <w:highlight w:val="none"/>
                <w:lang w:eastAsia="zh-CN"/>
              </w:rPr>
              <w:t>需再提供委托合同或者协议。</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eastAsia="zh-CN"/>
              </w:rPr>
              <w:t>具有县级</w:t>
            </w:r>
            <w:r>
              <w:rPr>
                <w:rFonts w:hint="eastAsia" w:ascii="宋体" w:hAnsi="宋体" w:eastAsia="宋体" w:cs="宋体"/>
                <w:color w:val="auto"/>
                <w:sz w:val="21"/>
                <w:szCs w:val="21"/>
                <w:highlight w:val="none"/>
              </w:rPr>
              <w:t>“健康体检医疗质量控制中心”的得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具有</w:t>
            </w:r>
            <w:r>
              <w:rPr>
                <w:rFonts w:hint="eastAsia" w:ascii="宋体" w:hAnsi="宋体" w:eastAsia="宋体" w:cs="宋体"/>
                <w:color w:val="auto"/>
                <w:sz w:val="21"/>
                <w:szCs w:val="21"/>
                <w:highlight w:val="none"/>
                <w:lang w:val="en-US" w:eastAsia="zh-CN"/>
              </w:rPr>
              <w:t>市</w:t>
            </w:r>
            <w:r>
              <w:rPr>
                <w:rFonts w:hint="eastAsia" w:ascii="宋体" w:hAnsi="宋体" w:eastAsia="宋体" w:cs="宋体"/>
                <w:color w:val="auto"/>
                <w:sz w:val="21"/>
                <w:szCs w:val="21"/>
                <w:highlight w:val="none"/>
                <w:lang w:eastAsia="zh-CN"/>
              </w:rPr>
              <w:t>级及以上</w:t>
            </w:r>
            <w:r>
              <w:rPr>
                <w:rFonts w:hint="eastAsia" w:ascii="宋体" w:hAnsi="宋体" w:eastAsia="宋体" w:cs="宋体"/>
                <w:color w:val="auto"/>
                <w:sz w:val="21"/>
                <w:szCs w:val="21"/>
                <w:highlight w:val="none"/>
              </w:rPr>
              <w:t>“健康体检医疗质量控制中心”的得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pPr>
              <w:keepNext w:val="0"/>
              <w:keepLines w:val="0"/>
              <w:pageBreakBefore w:val="0"/>
              <w:widowControl w:val="0"/>
              <w:kinsoku/>
              <w:overflowPunct/>
              <w:autoSpaceDE/>
              <w:autoSpaceDN/>
              <w:bidi w:val="0"/>
              <w:adjustRightInd w:val="0"/>
              <w:snapToGrid w:val="0"/>
              <w:spacing w:line="320" w:lineRule="exact"/>
              <w:ind w:left="28" w:leftChars="0" w:firstLine="0" w:firstLine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提供相关证明材料复印件</w:t>
            </w:r>
            <w:r>
              <w:rPr>
                <w:rFonts w:hint="eastAsia" w:ascii="宋体" w:hAnsi="宋体" w:eastAsia="宋体" w:cs="宋体"/>
                <w:b/>
                <w:bCs/>
                <w:color w:val="auto"/>
                <w:sz w:val="21"/>
                <w:szCs w:val="21"/>
                <w:highlight w:val="none"/>
                <w:lang w:eastAsia="zh-CN"/>
              </w:rPr>
              <w:t>。</w:t>
            </w:r>
          </w:p>
        </w:tc>
        <w:tc>
          <w:tcPr>
            <w:tcW w:w="954" w:type="dxa"/>
            <w:vMerge w:val="continue"/>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w:t>
            </w:r>
          </w:p>
        </w:tc>
        <w:tc>
          <w:tcPr>
            <w:tcW w:w="1179"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履约经验</w:t>
            </w:r>
          </w:p>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w:t>
            </w:r>
          </w:p>
        </w:tc>
        <w:tc>
          <w:tcPr>
            <w:tcW w:w="925"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850" w:type="dxa"/>
            <w:vAlign w:val="center"/>
          </w:tcPr>
          <w:p>
            <w:pPr>
              <w:pStyle w:val="45"/>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自20</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年1月1日</w:t>
            </w:r>
            <w:r>
              <w:rPr>
                <w:rFonts w:hint="eastAsia" w:ascii="宋体" w:hAnsi="宋体" w:eastAsia="宋体" w:cs="宋体"/>
                <w:color w:val="auto"/>
                <w:sz w:val="21"/>
                <w:szCs w:val="21"/>
                <w:highlight w:val="none"/>
                <w:lang w:val="en-US" w:eastAsia="zh-CN"/>
              </w:rPr>
              <w:t>(含)</w:t>
            </w:r>
            <w:r>
              <w:rPr>
                <w:rFonts w:hint="eastAsia" w:ascii="宋体" w:hAnsi="宋体" w:eastAsia="宋体" w:cs="宋体"/>
                <w:color w:val="auto"/>
                <w:sz w:val="21"/>
                <w:szCs w:val="21"/>
                <w:highlight w:val="none"/>
              </w:rPr>
              <w:t>以来，具有类似项目履约经验的，每提供一个得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45"/>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注：提供合同复印件</w:t>
            </w:r>
            <w:r>
              <w:rPr>
                <w:rFonts w:hint="eastAsia" w:ascii="宋体" w:hAnsi="宋体" w:eastAsia="宋体" w:cs="宋体"/>
                <w:color w:val="auto"/>
                <w:sz w:val="21"/>
                <w:szCs w:val="21"/>
                <w:highlight w:val="none"/>
                <w:lang w:val="en-US" w:eastAsia="zh-CN"/>
              </w:rPr>
              <w:t>(时间以合同签订时间为准)</w:t>
            </w:r>
            <w:r>
              <w:rPr>
                <w:rFonts w:hint="eastAsia" w:ascii="宋体" w:hAnsi="宋体" w:eastAsia="宋体" w:cs="宋体"/>
                <w:color w:val="auto"/>
                <w:sz w:val="21"/>
                <w:szCs w:val="21"/>
                <w:highlight w:val="none"/>
              </w:rPr>
              <w:t>。</w:t>
            </w:r>
          </w:p>
        </w:tc>
        <w:tc>
          <w:tcPr>
            <w:tcW w:w="954" w:type="dxa"/>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58" w:type="dxa"/>
            <w:gridSpan w:val="5"/>
            <w:vAlign w:val="center"/>
          </w:tcPr>
          <w:p>
            <w:pPr>
              <w:pStyle w:val="48"/>
              <w:keepNext w:val="0"/>
              <w:keepLines w:val="0"/>
              <w:pageBreakBefore w:val="0"/>
              <w:widowControl w:val="0"/>
              <w:kinsoku/>
              <w:overflowPunct/>
              <w:autoSpaceDE/>
              <w:autoSpaceDN/>
              <w:bidi w:val="0"/>
              <w:adjustRightInd w:val="0"/>
              <w:snapToGrid w:val="0"/>
              <w:spacing w:line="320" w:lineRule="exact"/>
              <w:ind w:left="28" w:left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 1 \* GB3 \* MERGEFORMAT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①</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t>评分的取值按四舍五入法，小数点后保留两位。</w:t>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 2 \* GB3 \* MERGEFORMAT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②</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t>本表中要求提供各类证明材料应清晰可辨，均需加盖</w:t>
            </w:r>
            <w:r>
              <w:rPr>
                <w:rFonts w:hint="eastAsia" w:ascii="宋体" w:hAnsi="宋体" w:eastAsia="宋体" w:cs="宋体"/>
                <w:b/>
                <w:bCs/>
                <w:color w:val="auto"/>
                <w:sz w:val="21"/>
                <w:szCs w:val="21"/>
                <w:highlight w:val="none"/>
                <w:lang w:val="en-US" w:eastAsia="zh-CN"/>
              </w:rPr>
              <w:t>投标人</w:t>
            </w:r>
            <w:r>
              <w:rPr>
                <w:rFonts w:hint="eastAsia" w:ascii="宋体" w:hAnsi="宋体" w:eastAsia="宋体" w:cs="宋体"/>
                <w:b/>
                <w:bCs/>
                <w:color w:val="auto"/>
                <w:sz w:val="21"/>
                <w:szCs w:val="21"/>
                <w:highlight w:val="none"/>
              </w:rPr>
              <w:t>公章，否则将不认可该项材料的有效性。③</w:t>
            </w:r>
            <w:r>
              <w:rPr>
                <w:rFonts w:hint="eastAsia" w:ascii="宋体" w:hAnsi="宋体" w:eastAsia="宋体" w:cs="宋体"/>
                <w:b/>
                <w:bCs/>
                <w:color w:val="auto"/>
                <w:sz w:val="21"/>
                <w:szCs w:val="21"/>
                <w:highlight w:val="none"/>
                <w:lang w:val="en-US" w:eastAsia="zh-CN"/>
              </w:rPr>
              <w:t>本项目不涉及节能产品、环境标志产品、无线局域网产品，商品包装、快递包装等情形，故在评审标准中不作体现。</w:t>
            </w:r>
          </w:p>
        </w:tc>
      </w:tr>
    </w:tbl>
    <w:p>
      <w:pPr>
        <w:pStyle w:val="24"/>
        <w:numPr>
          <w:ilvl w:val="1"/>
          <w:numId w:val="12"/>
        </w:numPr>
        <w:bidi w:val="0"/>
        <w:rPr>
          <w:rFonts w:hint="eastAsia"/>
          <w:color w:val="auto"/>
          <w:highlight w:val="none"/>
          <w:lang w:val="en-US" w:eastAsia="zh-CN"/>
        </w:rPr>
      </w:pPr>
      <w:bookmarkStart w:id="1131" w:name="_Toc28038"/>
      <w:bookmarkStart w:id="1132" w:name="_Toc13245"/>
      <w:bookmarkStart w:id="1133" w:name="_Toc21671"/>
      <w:bookmarkStart w:id="1134" w:name="_Toc21363"/>
      <w:bookmarkStart w:id="1135" w:name="_Toc4648"/>
      <w:bookmarkStart w:id="1136" w:name="_Toc13513"/>
      <w:r>
        <w:rPr>
          <w:rFonts w:hint="eastAsia"/>
          <w:color w:val="auto"/>
          <w:highlight w:val="none"/>
          <w:lang w:val="en-US" w:eastAsia="zh-CN"/>
        </w:rPr>
        <w:t>复核</w:t>
      </w:r>
      <w:bookmarkEnd w:id="1131"/>
      <w:bookmarkEnd w:id="1132"/>
    </w:p>
    <w:p>
      <w:pPr>
        <w:pStyle w:val="37"/>
        <w:numPr>
          <w:ilvl w:val="1"/>
          <w:numId w:val="32"/>
        </w:numPr>
        <w:bidi w:val="0"/>
        <w:rPr>
          <w:rFonts w:hint="eastAsia"/>
          <w:color w:val="auto"/>
          <w:highlight w:val="none"/>
          <w:lang w:eastAsia="zh-CN"/>
        </w:rPr>
      </w:pPr>
      <w:r>
        <w:rPr>
          <w:rFonts w:hint="eastAsia"/>
          <w:color w:val="auto"/>
          <w:highlight w:val="none"/>
        </w:rPr>
        <w:t>评标委员会复核</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37"/>
        <w:bidi w:val="0"/>
        <w:rPr>
          <w:rFonts w:hint="eastAsia"/>
          <w:color w:val="auto"/>
          <w:highlight w:val="none"/>
        </w:rPr>
      </w:pPr>
      <w:r>
        <w:rPr>
          <w:rFonts w:hint="eastAsia"/>
          <w:color w:val="auto"/>
          <w:highlight w:val="none"/>
        </w:rPr>
        <w:t>采购代理机构现场复核评审结果</w:t>
      </w:r>
    </w:p>
    <w:p>
      <w:pPr>
        <w:pStyle w:val="39"/>
        <w:bidi w:val="0"/>
        <w:rPr>
          <w:rFonts w:hint="eastAsia"/>
          <w:color w:val="auto"/>
          <w:highlight w:val="none"/>
        </w:rPr>
      </w:pPr>
      <w:r>
        <w:rPr>
          <w:rFonts w:hint="eastAsia"/>
          <w:color w:val="auto"/>
          <w:highlight w:val="none"/>
        </w:rPr>
        <w:t>评审结果汇总完成后，评</w:t>
      </w:r>
      <w:r>
        <w:rPr>
          <w:rFonts w:hint="eastAsia"/>
          <w:color w:val="auto"/>
          <w:highlight w:val="none"/>
          <w:lang w:val="en-US" w:eastAsia="zh-CN"/>
        </w:rPr>
        <w:t>标</w:t>
      </w:r>
      <w:r>
        <w:rPr>
          <w:rFonts w:hint="eastAsia"/>
          <w:color w:val="auto"/>
          <w:highlight w:val="none"/>
        </w:rPr>
        <w:t>委员会拟出具</w:t>
      </w:r>
      <w:r>
        <w:rPr>
          <w:rFonts w:hint="eastAsia"/>
          <w:color w:val="auto"/>
          <w:highlight w:val="none"/>
          <w:lang w:eastAsia="zh-CN"/>
        </w:rPr>
        <w:t>评标报告</w:t>
      </w:r>
      <w:r>
        <w:rPr>
          <w:rFonts w:hint="eastAsia"/>
          <w:color w:val="auto"/>
          <w:highlight w:val="none"/>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0"/>
        <w:bidi w:val="0"/>
        <w:rPr>
          <w:rFonts w:hint="eastAsia"/>
          <w:color w:val="auto"/>
          <w:highlight w:val="none"/>
        </w:rPr>
      </w:pPr>
      <w:r>
        <w:rPr>
          <w:rFonts w:hint="eastAsia"/>
          <w:color w:val="auto"/>
          <w:highlight w:val="none"/>
        </w:rPr>
        <w:t>分值汇总计算错误的；</w:t>
      </w:r>
    </w:p>
    <w:p>
      <w:pPr>
        <w:pStyle w:val="40"/>
        <w:bidi w:val="0"/>
        <w:rPr>
          <w:rFonts w:hint="eastAsia"/>
          <w:color w:val="auto"/>
          <w:highlight w:val="none"/>
        </w:rPr>
      </w:pPr>
      <w:r>
        <w:rPr>
          <w:rFonts w:hint="eastAsia"/>
          <w:color w:val="auto"/>
          <w:highlight w:val="none"/>
        </w:rPr>
        <w:t>分项评分超出评分标准范围的；</w:t>
      </w:r>
    </w:p>
    <w:p>
      <w:pPr>
        <w:pStyle w:val="40"/>
        <w:bidi w:val="0"/>
        <w:rPr>
          <w:rFonts w:hint="eastAsia"/>
          <w:color w:val="auto"/>
          <w:highlight w:val="none"/>
        </w:rPr>
      </w:pPr>
      <w:r>
        <w:rPr>
          <w:rFonts w:hint="eastAsia"/>
          <w:color w:val="auto"/>
          <w:highlight w:val="none"/>
        </w:rPr>
        <w:t>评标委员会成员对客观评审因素评分不一致的；</w:t>
      </w:r>
    </w:p>
    <w:p>
      <w:pPr>
        <w:pStyle w:val="40"/>
        <w:bidi w:val="0"/>
        <w:rPr>
          <w:rFonts w:hint="eastAsia"/>
          <w:color w:val="auto"/>
          <w:highlight w:val="none"/>
        </w:rPr>
      </w:pPr>
      <w:r>
        <w:rPr>
          <w:rFonts w:hint="eastAsia"/>
          <w:color w:val="auto"/>
          <w:highlight w:val="none"/>
        </w:rPr>
        <w:t>经评标委员会认定评分畸高、畸低的。</w:t>
      </w:r>
    </w:p>
    <w:p>
      <w:pPr>
        <w:pStyle w:val="29"/>
        <w:bidi w:val="0"/>
        <w:rPr>
          <w:rFonts w:hint="eastAsia"/>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29"/>
        <w:bidi w:val="0"/>
        <w:rPr>
          <w:rFonts w:hint="eastAsia"/>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9"/>
        <w:bidi w:val="0"/>
        <w:rPr>
          <w:rFonts w:hint="eastAsia"/>
          <w:color w:val="auto"/>
          <w:highlight w:val="none"/>
        </w:rPr>
      </w:pPr>
      <w:r>
        <w:rPr>
          <w:rFonts w:hint="eastAsia"/>
          <w:color w:val="auto"/>
          <w:highlight w:val="none"/>
        </w:rPr>
        <w:t>采购代理机构复核过程中，评标委员会不得离开评标现场。</w:t>
      </w:r>
    </w:p>
    <w:p>
      <w:pPr>
        <w:pStyle w:val="39"/>
        <w:bidi w:val="0"/>
        <w:rPr>
          <w:rFonts w:hint="eastAsia"/>
          <w:color w:val="auto"/>
          <w:highlight w:val="none"/>
        </w:rPr>
      </w:pPr>
      <w:r>
        <w:rPr>
          <w:rFonts w:hint="eastAsia"/>
          <w:color w:val="auto"/>
          <w:highlight w:val="none"/>
        </w:rPr>
        <w:t>有下列情形之一的，不得修改评标结果或者重新评标：</w:t>
      </w:r>
    </w:p>
    <w:p>
      <w:pPr>
        <w:pStyle w:val="40"/>
        <w:bidi w:val="0"/>
        <w:rPr>
          <w:rFonts w:hint="eastAsia"/>
          <w:color w:val="auto"/>
          <w:highlight w:val="none"/>
        </w:rPr>
      </w:pPr>
      <w:r>
        <w:rPr>
          <w:rFonts w:hint="eastAsia"/>
          <w:color w:val="auto"/>
          <w:highlight w:val="none"/>
        </w:rPr>
        <w:t>评标委员会已经出具评标报告并且离开评标现场的；</w:t>
      </w:r>
    </w:p>
    <w:p>
      <w:pPr>
        <w:pStyle w:val="40"/>
        <w:bidi w:val="0"/>
        <w:rPr>
          <w:rFonts w:hint="eastAsia"/>
          <w:color w:val="auto"/>
          <w:highlight w:val="none"/>
        </w:rPr>
      </w:pPr>
      <w:r>
        <w:rPr>
          <w:rFonts w:hint="eastAsia"/>
          <w:color w:val="auto"/>
          <w:highlight w:val="none"/>
        </w:rPr>
        <w:t>采购代理机构现场复核时，复核工作人员数量不足的；</w:t>
      </w:r>
    </w:p>
    <w:p>
      <w:pPr>
        <w:pStyle w:val="40"/>
        <w:bidi w:val="0"/>
        <w:rPr>
          <w:rFonts w:hint="eastAsia"/>
          <w:color w:val="auto"/>
          <w:highlight w:val="none"/>
        </w:rPr>
      </w:pPr>
      <w:r>
        <w:rPr>
          <w:rFonts w:hint="eastAsia"/>
          <w:color w:val="auto"/>
          <w:highlight w:val="none"/>
        </w:rPr>
        <w:t>采购代理机构现场复核时，没有采购监督人员现场监督的；</w:t>
      </w:r>
    </w:p>
    <w:p>
      <w:pPr>
        <w:pStyle w:val="40"/>
        <w:bidi w:val="0"/>
        <w:rPr>
          <w:rFonts w:hint="eastAsia"/>
          <w:color w:val="auto"/>
          <w:highlight w:val="none"/>
        </w:rPr>
      </w:pPr>
      <w:r>
        <w:rPr>
          <w:rFonts w:hint="eastAsia"/>
          <w:color w:val="auto"/>
          <w:highlight w:val="none"/>
        </w:rPr>
        <w:t>采购代理机构现场复核内容超出规定范围的；</w:t>
      </w:r>
    </w:p>
    <w:p>
      <w:pPr>
        <w:pStyle w:val="40"/>
        <w:bidi w:val="0"/>
        <w:rPr>
          <w:rFonts w:hint="eastAsia"/>
          <w:color w:val="auto"/>
          <w:highlight w:val="none"/>
        </w:rPr>
      </w:pPr>
      <w:r>
        <w:rPr>
          <w:rFonts w:hint="eastAsia"/>
          <w:color w:val="auto"/>
          <w:highlight w:val="none"/>
        </w:rPr>
        <w:t>采购代理机构未提供书面建议的。</w:t>
      </w:r>
    </w:p>
    <w:p>
      <w:pPr>
        <w:pStyle w:val="24"/>
        <w:numPr>
          <w:ilvl w:val="1"/>
          <w:numId w:val="12"/>
        </w:numPr>
        <w:bidi w:val="0"/>
        <w:rPr>
          <w:rFonts w:hint="eastAsia"/>
          <w:color w:val="auto"/>
          <w:highlight w:val="none"/>
          <w:lang w:val="en-US" w:eastAsia="zh-CN"/>
        </w:rPr>
      </w:pPr>
      <w:bookmarkStart w:id="1137" w:name="_Toc31256"/>
      <w:bookmarkStart w:id="1138" w:name="_Toc15574"/>
      <w:r>
        <w:rPr>
          <w:rFonts w:hint="eastAsia"/>
          <w:color w:val="auto"/>
          <w:highlight w:val="none"/>
          <w:lang w:val="en-US" w:eastAsia="zh-CN"/>
        </w:rPr>
        <w:t>推荐中标候选供应商</w:t>
      </w:r>
      <w:bookmarkEnd w:id="1137"/>
      <w:bookmarkEnd w:id="1138"/>
    </w:p>
    <w:p>
      <w:pPr>
        <w:pStyle w:val="29"/>
        <w:bidi w:val="0"/>
        <w:rPr>
          <w:rFonts w:hint="eastAsia"/>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9"/>
        <w:bidi w:val="0"/>
        <w:rPr>
          <w:rFonts w:hint="eastAsia"/>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24"/>
        <w:numPr>
          <w:ilvl w:val="1"/>
          <w:numId w:val="12"/>
        </w:numPr>
        <w:bidi w:val="0"/>
        <w:rPr>
          <w:rFonts w:hint="eastAsia"/>
          <w:color w:val="auto"/>
          <w:highlight w:val="none"/>
          <w:lang w:val="en-US" w:eastAsia="zh-CN"/>
        </w:rPr>
      </w:pPr>
      <w:bookmarkStart w:id="1139" w:name="_Toc7685"/>
      <w:bookmarkStart w:id="1140" w:name="_Toc14679"/>
      <w:r>
        <w:rPr>
          <w:rFonts w:hint="eastAsia"/>
          <w:color w:val="auto"/>
          <w:highlight w:val="none"/>
          <w:lang w:val="en-US" w:eastAsia="zh-CN"/>
        </w:rPr>
        <w:t>出具评标报告</w:t>
      </w:r>
      <w:bookmarkEnd w:id="1139"/>
      <w:bookmarkEnd w:id="1140"/>
    </w:p>
    <w:p>
      <w:pPr>
        <w:pStyle w:val="29"/>
        <w:bidi w:val="0"/>
        <w:rPr>
          <w:rFonts w:hint="eastAsia"/>
          <w:color w:val="auto"/>
          <w:highlight w:val="none"/>
        </w:rPr>
      </w:pPr>
      <w:r>
        <w:rPr>
          <w:rFonts w:hint="eastAsia"/>
          <w:color w:val="auto"/>
          <w:highlight w:val="none"/>
        </w:rPr>
        <w:t>评标委员会推荐中标候选供应商后，应当向招标采购单位出具评标报告。评标报告应当包括下列内容：</w:t>
      </w:r>
    </w:p>
    <w:p>
      <w:pPr>
        <w:pStyle w:val="37"/>
        <w:numPr>
          <w:ilvl w:val="1"/>
          <w:numId w:val="33"/>
        </w:numPr>
        <w:bidi w:val="0"/>
        <w:rPr>
          <w:rFonts w:hint="eastAsia"/>
          <w:color w:val="auto"/>
          <w:highlight w:val="none"/>
        </w:rPr>
      </w:pPr>
      <w:r>
        <w:rPr>
          <w:rFonts w:hint="eastAsia"/>
          <w:color w:val="auto"/>
          <w:highlight w:val="none"/>
        </w:rPr>
        <w:t>招标公告刊登的媒体名称、开标日期和地点；</w:t>
      </w:r>
    </w:p>
    <w:p>
      <w:pPr>
        <w:pStyle w:val="37"/>
        <w:numPr>
          <w:ilvl w:val="1"/>
          <w:numId w:val="33"/>
        </w:numPr>
        <w:bidi w:val="0"/>
        <w:rPr>
          <w:rFonts w:hint="eastAsia"/>
          <w:color w:val="auto"/>
          <w:highlight w:val="none"/>
        </w:rPr>
      </w:pPr>
      <w:r>
        <w:rPr>
          <w:rFonts w:hint="eastAsia"/>
          <w:color w:val="auto"/>
          <w:highlight w:val="none"/>
        </w:rPr>
        <w:t>投标人名单和评标委员会成员名单；</w:t>
      </w:r>
    </w:p>
    <w:p>
      <w:pPr>
        <w:pStyle w:val="37"/>
        <w:numPr>
          <w:ilvl w:val="1"/>
          <w:numId w:val="33"/>
        </w:numPr>
        <w:bidi w:val="0"/>
        <w:rPr>
          <w:rFonts w:hint="eastAsia"/>
          <w:color w:val="auto"/>
          <w:highlight w:val="none"/>
        </w:rPr>
      </w:pPr>
      <w:r>
        <w:rPr>
          <w:rFonts w:hint="eastAsia"/>
          <w:color w:val="auto"/>
          <w:highlight w:val="none"/>
        </w:rPr>
        <w:t>评标方法和标准；</w:t>
      </w:r>
    </w:p>
    <w:p>
      <w:pPr>
        <w:pStyle w:val="37"/>
        <w:numPr>
          <w:ilvl w:val="1"/>
          <w:numId w:val="33"/>
        </w:numPr>
        <w:bidi w:val="0"/>
        <w:rPr>
          <w:rFonts w:hint="eastAsia"/>
          <w:color w:val="auto"/>
          <w:highlight w:val="none"/>
        </w:rPr>
      </w:pPr>
      <w:r>
        <w:rPr>
          <w:rFonts w:hint="eastAsia"/>
          <w:color w:val="auto"/>
          <w:highlight w:val="none"/>
        </w:rPr>
        <w:t>开标记录和评标情况及说明，包括无效投标人名单及原因；</w:t>
      </w:r>
    </w:p>
    <w:p>
      <w:pPr>
        <w:pStyle w:val="37"/>
        <w:numPr>
          <w:ilvl w:val="1"/>
          <w:numId w:val="33"/>
        </w:numPr>
        <w:bidi w:val="0"/>
        <w:rPr>
          <w:rFonts w:hint="eastAsia"/>
          <w:color w:val="auto"/>
          <w:highlight w:val="none"/>
        </w:rPr>
      </w:pPr>
      <w:r>
        <w:rPr>
          <w:rFonts w:hint="eastAsia"/>
          <w:color w:val="auto"/>
          <w:highlight w:val="none"/>
        </w:rPr>
        <w:t>评标结果，确定的中标候选人名单或者经采购人委托直接确定的中标人；</w:t>
      </w:r>
    </w:p>
    <w:p>
      <w:pPr>
        <w:pStyle w:val="37"/>
        <w:numPr>
          <w:ilvl w:val="1"/>
          <w:numId w:val="33"/>
        </w:numPr>
        <w:bidi w:val="0"/>
        <w:rPr>
          <w:rFonts w:hint="eastAsia"/>
          <w:color w:val="auto"/>
          <w:highlight w:val="none"/>
          <w:lang w:val="en-US" w:eastAsia="zh-CN"/>
        </w:rPr>
      </w:pPr>
      <w:r>
        <w:rPr>
          <w:rFonts w:hint="eastAsia"/>
          <w:color w:val="auto"/>
          <w:highlight w:val="none"/>
          <w:lang w:val="en-US" w:eastAsia="zh-CN"/>
        </w:rPr>
        <w:t>其他需要说明的情况，包括评标过程中投标人根据评标委员会要求进行的澄清、说明或者补正，评标委员会成员的更换等。</w:t>
      </w:r>
    </w:p>
    <w:p>
      <w:pPr>
        <w:pStyle w:val="49"/>
        <w:bidi w:val="0"/>
        <w:rPr>
          <w:rFonts w:hint="eastAsia"/>
          <w:color w:val="auto"/>
          <w:highlight w:val="none"/>
          <w:lang w:val="en-US" w:eastAsia="zh-CN"/>
        </w:rPr>
      </w:pPr>
      <w:r>
        <w:rPr>
          <w:rFonts w:hint="eastAsia"/>
          <w:color w:val="auto"/>
          <w:highlight w:val="none"/>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4"/>
        <w:numPr>
          <w:ilvl w:val="1"/>
          <w:numId w:val="12"/>
        </w:numPr>
        <w:bidi w:val="0"/>
        <w:rPr>
          <w:rFonts w:hint="eastAsia"/>
          <w:color w:val="auto"/>
          <w:highlight w:val="none"/>
        </w:rPr>
      </w:pPr>
      <w:bookmarkStart w:id="1141" w:name="_Toc10867"/>
      <w:bookmarkStart w:id="1142" w:name="_Toc17073"/>
      <w:r>
        <w:rPr>
          <w:rFonts w:hint="eastAsia"/>
          <w:color w:val="auto"/>
          <w:highlight w:val="none"/>
        </w:rPr>
        <w:t>废标</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133"/>
      <w:bookmarkEnd w:id="1134"/>
      <w:bookmarkEnd w:id="1135"/>
      <w:bookmarkEnd w:id="1136"/>
      <w:bookmarkEnd w:id="1141"/>
      <w:bookmarkEnd w:id="1142"/>
    </w:p>
    <w:p>
      <w:pPr>
        <w:pStyle w:val="29"/>
        <w:bidi w:val="0"/>
        <w:rPr>
          <w:rFonts w:hint="eastAsia"/>
          <w:color w:val="auto"/>
          <w:highlight w:val="none"/>
        </w:rPr>
      </w:pPr>
      <w:r>
        <w:rPr>
          <w:rFonts w:hint="eastAsia"/>
          <w:color w:val="auto"/>
          <w:highlight w:val="none"/>
        </w:rPr>
        <w:t>本次政府采购活动中，出现下列情形之一的，予以废标：</w:t>
      </w:r>
    </w:p>
    <w:p>
      <w:pPr>
        <w:pStyle w:val="39"/>
        <w:bidi w:val="0"/>
        <w:rPr>
          <w:rFonts w:hint="eastAsia"/>
          <w:color w:val="auto"/>
          <w:highlight w:val="none"/>
        </w:rPr>
      </w:pPr>
      <w:r>
        <w:rPr>
          <w:rFonts w:hint="eastAsia"/>
          <w:color w:val="auto"/>
          <w:highlight w:val="none"/>
        </w:rPr>
        <w:t>符合专业条件的供应商或者对招标文件作实质响应的供应商不足三家的；</w:t>
      </w:r>
    </w:p>
    <w:p>
      <w:pPr>
        <w:pStyle w:val="39"/>
        <w:bidi w:val="0"/>
        <w:rPr>
          <w:rFonts w:hint="eastAsia"/>
          <w:color w:val="auto"/>
          <w:highlight w:val="none"/>
        </w:rPr>
      </w:pPr>
      <w:r>
        <w:rPr>
          <w:rFonts w:hint="eastAsia"/>
          <w:color w:val="auto"/>
          <w:highlight w:val="none"/>
        </w:rPr>
        <w:t>出现影响采购公正的违法、违规行为的；</w:t>
      </w:r>
    </w:p>
    <w:p>
      <w:pPr>
        <w:pStyle w:val="39"/>
        <w:bidi w:val="0"/>
        <w:rPr>
          <w:rFonts w:hint="eastAsia"/>
          <w:color w:val="auto"/>
          <w:highlight w:val="none"/>
        </w:rPr>
      </w:pPr>
      <w:r>
        <w:rPr>
          <w:rFonts w:hint="eastAsia"/>
          <w:color w:val="auto"/>
          <w:highlight w:val="none"/>
        </w:rPr>
        <w:t>投标人的报价均超过了采购预算</w:t>
      </w:r>
      <w:r>
        <w:rPr>
          <w:rFonts w:hint="eastAsia"/>
          <w:color w:val="auto"/>
          <w:highlight w:val="none"/>
          <w:lang w:val="en-US" w:eastAsia="zh-CN"/>
        </w:rPr>
        <w:t>或最高限价</w:t>
      </w:r>
      <w:r>
        <w:rPr>
          <w:rFonts w:hint="eastAsia"/>
          <w:color w:val="auto"/>
          <w:highlight w:val="none"/>
        </w:rPr>
        <w:t>，采购人不能支付的；</w:t>
      </w:r>
    </w:p>
    <w:p>
      <w:pPr>
        <w:pStyle w:val="39"/>
        <w:bidi w:val="0"/>
        <w:rPr>
          <w:rFonts w:hint="eastAsia"/>
          <w:color w:val="auto"/>
          <w:highlight w:val="none"/>
        </w:rPr>
      </w:pPr>
      <w:r>
        <w:rPr>
          <w:rFonts w:hint="eastAsia"/>
          <w:color w:val="auto"/>
          <w:highlight w:val="none"/>
        </w:rPr>
        <w:t>因重大变故，采购任务取消的。</w:t>
      </w:r>
    </w:p>
    <w:p>
      <w:pPr>
        <w:pStyle w:val="29"/>
        <w:bidi w:val="0"/>
        <w:rPr>
          <w:rFonts w:hint="eastAsia"/>
          <w:color w:val="auto"/>
          <w:highlight w:val="none"/>
        </w:rPr>
      </w:pPr>
      <w:r>
        <w:rPr>
          <w:rFonts w:hint="eastAsia"/>
          <w:color w:val="auto"/>
          <w:highlight w:val="none"/>
        </w:rPr>
        <w:t>废标后，采购代理机构应在</w:t>
      </w:r>
      <w:r>
        <w:rPr>
          <w:rFonts w:hint="eastAsia"/>
          <w:color w:val="auto"/>
          <w:highlight w:val="none"/>
          <w:lang w:eastAsia="zh-CN"/>
        </w:rPr>
        <w:t>“四川政府采购网”</w:t>
      </w:r>
      <w:r>
        <w:rPr>
          <w:rFonts w:hint="eastAsia"/>
          <w:color w:val="auto"/>
          <w:highlight w:val="none"/>
        </w:rPr>
        <w:t>公告，并公告废标的理由。</w:t>
      </w:r>
    </w:p>
    <w:p>
      <w:pPr>
        <w:pStyle w:val="24"/>
        <w:numPr>
          <w:ilvl w:val="1"/>
          <w:numId w:val="12"/>
        </w:numPr>
        <w:bidi w:val="0"/>
        <w:rPr>
          <w:rFonts w:hint="eastAsia"/>
          <w:color w:val="auto"/>
          <w:highlight w:val="none"/>
        </w:rPr>
      </w:pPr>
      <w:bookmarkStart w:id="1143" w:name="_Toc31281"/>
      <w:bookmarkStart w:id="1144" w:name="_Toc307501158"/>
      <w:bookmarkStart w:id="1145" w:name="_Toc21352"/>
      <w:bookmarkStart w:id="1146" w:name="_Toc2453"/>
      <w:bookmarkStart w:id="1147" w:name="_Toc309897567"/>
      <w:bookmarkStart w:id="1148" w:name="_Toc7121"/>
      <w:bookmarkStart w:id="1149" w:name="_Toc4794"/>
      <w:bookmarkStart w:id="1150" w:name="_Toc25875"/>
      <w:bookmarkStart w:id="1151" w:name="_Toc308084649"/>
      <w:bookmarkStart w:id="1152" w:name="_Toc319440193"/>
      <w:bookmarkStart w:id="1153" w:name="_Toc319439949"/>
      <w:bookmarkStart w:id="1154" w:name="_Toc327196344"/>
      <w:bookmarkStart w:id="1155" w:name="_Toc24655"/>
      <w:bookmarkStart w:id="1156" w:name="_Toc4475"/>
      <w:bookmarkStart w:id="1157" w:name="_Toc308188202"/>
      <w:bookmarkStart w:id="1158" w:name="_Toc768"/>
      <w:bookmarkStart w:id="1159" w:name="_Toc10846"/>
      <w:bookmarkStart w:id="1160" w:name="_Toc29046"/>
      <w:bookmarkStart w:id="1161" w:name="_Toc13169"/>
      <w:bookmarkStart w:id="1162" w:name="_Toc307564900"/>
      <w:r>
        <w:rPr>
          <w:rFonts w:hint="eastAsia"/>
          <w:color w:val="auto"/>
          <w:highlight w:val="none"/>
        </w:rPr>
        <w:t>定标</w:t>
      </w:r>
      <w:bookmarkEnd w:id="1030"/>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Start w:id="1163" w:name="_Toc217446061"/>
    </w:p>
    <w:p>
      <w:pPr>
        <w:pStyle w:val="37"/>
        <w:numPr>
          <w:ilvl w:val="1"/>
          <w:numId w:val="34"/>
        </w:numPr>
        <w:bidi w:val="0"/>
        <w:rPr>
          <w:rFonts w:hint="eastAsia"/>
          <w:color w:val="auto"/>
          <w:highlight w:val="none"/>
        </w:rPr>
      </w:pPr>
      <w:r>
        <w:rPr>
          <w:rFonts w:hint="eastAsia"/>
          <w:color w:val="auto"/>
          <w:highlight w:val="none"/>
        </w:rPr>
        <w:t>定标原则</w:t>
      </w:r>
      <w:bookmarkEnd w:id="1163"/>
      <w:r>
        <w:rPr>
          <w:rFonts w:hint="eastAsia"/>
          <w:color w:val="auto"/>
          <w:highlight w:val="none"/>
        </w:rPr>
        <w:t>：本项目根据评委会推荐的中标候选人名单，按顺序确定中标人。</w:t>
      </w:r>
    </w:p>
    <w:p>
      <w:pPr>
        <w:pStyle w:val="37"/>
        <w:numPr>
          <w:ilvl w:val="1"/>
          <w:numId w:val="34"/>
        </w:numPr>
        <w:bidi w:val="0"/>
        <w:rPr>
          <w:rFonts w:hint="eastAsia"/>
          <w:color w:val="auto"/>
          <w:highlight w:val="none"/>
        </w:rPr>
      </w:pPr>
      <w:bookmarkStart w:id="1164" w:name="_Toc217446062"/>
      <w:r>
        <w:rPr>
          <w:rFonts w:hint="eastAsia"/>
          <w:color w:val="auto"/>
          <w:highlight w:val="none"/>
        </w:rPr>
        <w:t>定标程序</w:t>
      </w:r>
      <w:bookmarkEnd w:id="1164"/>
    </w:p>
    <w:p>
      <w:pPr>
        <w:pStyle w:val="39"/>
        <w:bidi w:val="0"/>
        <w:rPr>
          <w:rFonts w:hint="eastAsia"/>
          <w:color w:val="auto"/>
          <w:highlight w:val="none"/>
        </w:rPr>
      </w:pPr>
      <w:r>
        <w:rPr>
          <w:rFonts w:hint="eastAsia"/>
          <w:color w:val="auto"/>
          <w:highlight w:val="none"/>
          <w:lang w:val="en-US" w:eastAsia="zh-CN"/>
        </w:rPr>
        <w:t>评标委员会根据全体评标成员签字的原始评标记录和评标结果编写评标报告</w:t>
      </w:r>
      <w:r>
        <w:rPr>
          <w:rFonts w:hint="eastAsia"/>
          <w:color w:val="auto"/>
          <w:highlight w:val="none"/>
        </w:rPr>
        <w:t>，推荐</w:t>
      </w:r>
      <w:r>
        <w:rPr>
          <w:rFonts w:hint="eastAsia"/>
          <w:color w:val="auto"/>
          <w:highlight w:val="none"/>
          <w:lang w:val="en-US" w:eastAsia="zh-CN"/>
        </w:rPr>
        <w:t>不少于三名</w:t>
      </w:r>
      <w:r>
        <w:rPr>
          <w:rFonts w:hint="eastAsia"/>
          <w:color w:val="auto"/>
          <w:highlight w:val="none"/>
        </w:rPr>
        <w:t>中标候选人，并按照综合得分高低标明排列顺序。</w:t>
      </w:r>
    </w:p>
    <w:p>
      <w:pPr>
        <w:pStyle w:val="39"/>
        <w:bidi w:val="0"/>
        <w:rPr>
          <w:rFonts w:hint="eastAsia"/>
          <w:color w:val="auto"/>
          <w:highlight w:val="none"/>
        </w:rPr>
      </w:pPr>
      <w:r>
        <w:rPr>
          <w:rFonts w:hint="eastAsia"/>
          <w:color w:val="auto"/>
          <w:highlight w:val="none"/>
        </w:rPr>
        <w:t>采购代理机构在评标结束后2个工作日内将评标报告送采购人。</w:t>
      </w:r>
    </w:p>
    <w:p>
      <w:pPr>
        <w:pStyle w:val="39"/>
        <w:bidi w:val="0"/>
        <w:rPr>
          <w:rFonts w:hint="eastAsia"/>
          <w:color w:val="auto"/>
          <w:highlight w:val="none"/>
        </w:rPr>
      </w:pPr>
      <w:r>
        <w:rPr>
          <w:rFonts w:hint="eastAsia"/>
          <w:color w:val="auto"/>
          <w:highlight w:val="none"/>
        </w:rPr>
        <w:t>采购人应当自收到评标报告之日起</w:t>
      </w:r>
      <w:r>
        <w:rPr>
          <w:rFonts w:hint="eastAsia"/>
          <w:color w:val="auto"/>
          <w:highlight w:val="none"/>
          <w:lang w:val="en-US" w:eastAsia="zh-CN"/>
        </w:rPr>
        <w:t>3</w:t>
      </w:r>
      <w:r>
        <w:rPr>
          <w:rFonts w:hint="eastAsia"/>
          <w:color w:val="auto"/>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color w:val="auto"/>
          <w:highlight w:val="none"/>
          <w:lang w:val="en-US" w:eastAsia="zh-CN"/>
        </w:rPr>
        <w:t>中标</w:t>
      </w:r>
      <w:r>
        <w:rPr>
          <w:rFonts w:hint="eastAsia"/>
          <w:color w:val="auto"/>
          <w:highlight w:val="none"/>
        </w:rPr>
        <w:t>供应商前，应到中国裁判文书网</w:t>
      </w:r>
      <w:r>
        <w:rPr>
          <w:rFonts w:hint="eastAsia"/>
          <w:color w:val="auto"/>
          <w:highlight w:val="none"/>
          <w:lang w:eastAsia="zh-CN"/>
        </w:rPr>
        <w:t>(</w:t>
      </w:r>
      <w:r>
        <w:rPr>
          <w:rFonts w:hint="eastAsia"/>
          <w:color w:val="auto"/>
          <w:highlight w:val="none"/>
        </w:rPr>
        <w:t>https</w:t>
      </w:r>
      <w:r>
        <w:rPr>
          <w:rFonts w:hint="eastAsia"/>
          <w:color w:val="auto"/>
          <w:highlight w:val="none"/>
          <w:lang w:eastAsia="zh-CN"/>
        </w:rPr>
        <w:t>：</w:t>
      </w:r>
      <w:r>
        <w:rPr>
          <w:rFonts w:hint="eastAsia"/>
          <w:color w:val="auto"/>
          <w:highlight w:val="none"/>
        </w:rPr>
        <w:t>//wenshu.court.gov.cn</w:t>
      </w:r>
      <w:r>
        <w:rPr>
          <w:rFonts w:hint="eastAsia"/>
          <w:color w:val="auto"/>
          <w:highlight w:val="none"/>
          <w:lang w:eastAsia="zh-CN"/>
        </w:rPr>
        <w:t>)</w:t>
      </w:r>
      <w:r>
        <w:rPr>
          <w:rFonts w:hint="eastAsia"/>
          <w:color w:val="auto"/>
          <w:highlight w:val="none"/>
        </w:rPr>
        <w:t>查询</w:t>
      </w:r>
      <w:r>
        <w:rPr>
          <w:rFonts w:hint="eastAsia"/>
          <w:color w:val="auto"/>
          <w:highlight w:val="none"/>
          <w:lang w:val="en-US" w:eastAsia="zh-CN"/>
        </w:rPr>
        <w:t>中标</w:t>
      </w:r>
      <w:r>
        <w:rPr>
          <w:rFonts w:hint="eastAsia"/>
          <w:color w:val="auto"/>
          <w:highlight w:val="none"/>
        </w:rPr>
        <w:t>候选供应商及其现任法定代表人、主要负责人是否存在行贿犯罪记录</w:t>
      </w:r>
      <w:r>
        <w:rPr>
          <w:rFonts w:hint="eastAsia"/>
          <w:color w:val="auto"/>
          <w:highlight w:val="none"/>
          <w:lang w:eastAsia="zh-CN"/>
        </w:rPr>
        <w:t>。</w:t>
      </w:r>
    </w:p>
    <w:p>
      <w:pPr>
        <w:pStyle w:val="29"/>
        <w:bidi w:val="0"/>
        <w:rPr>
          <w:rFonts w:hint="eastAsia"/>
          <w:color w:val="auto"/>
          <w:highlight w:val="none"/>
        </w:rPr>
      </w:pPr>
      <w:r>
        <w:rPr>
          <w:rFonts w:hint="eastAsia"/>
          <w:color w:val="auto"/>
          <w:highlight w:val="none"/>
          <w:lang w:val="en-US" w:eastAsia="zh-CN"/>
        </w:rPr>
        <w:t>采</w:t>
      </w:r>
      <w:r>
        <w:rPr>
          <w:rFonts w:hint="eastAsia"/>
          <w:color w:val="auto"/>
          <w:highlight w:val="none"/>
        </w:rPr>
        <w:t>购人在收到评标报告</w:t>
      </w:r>
      <w:r>
        <w:rPr>
          <w:rFonts w:hint="eastAsia"/>
          <w:color w:val="auto"/>
          <w:highlight w:val="none"/>
          <w:lang w:val="en-US" w:eastAsia="zh-CN"/>
        </w:rPr>
        <w:t>3</w:t>
      </w:r>
      <w:r>
        <w:rPr>
          <w:rFonts w:hint="eastAsia"/>
          <w:color w:val="auto"/>
          <w:highlight w:val="none"/>
        </w:rPr>
        <w:t>个工作日内未按评标报告推荐的中标候选人顺序确定中标人，又不能说明合法理由的，视同按评标报告推荐的顺序确定排名第一的中标候选人为中标人。</w:t>
      </w:r>
    </w:p>
    <w:p>
      <w:pPr>
        <w:pStyle w:val="39"/>
        <w:bidi w:val="0"/>
        <w:rPr>
          <w:rFonts w:hint="eastAsia"/>
          <w:color w:val="auto"/>
          <w:highlight w:val="none"/>
        </w:rPr>
      </w:pPr>
      <w:r>
        <w:rPr>
          <w:rFonts w:hint="eastAsia"/>
          <w:color w:val="auto"/>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color w:val="auto"/>
          <w:highlight w:val="none"/>
          <w:lang w:eastAsia="zh-CN"/>
        </w:rPr>
        <w:t>中标人</w:t>
      </w:r>
      <w:r>
        <w:rPr>
          <w:rFonts w:hint="eastAsia"/>
          <w:color w:val="auto"/>
          <w:highlight w:val="none"/>
        </w:rPr>
        <w:t>。</w:t>
      </w:r>
    </w:p>
    <w:p>
      <w:pPr>
        <w:pStyle w:val="39"/>
        <w:bidi w:val="0"/>
        <w:rPr>
          <w:rFonts w:hint="eastAsia"/>
          <w:color w:val="auto"/>
          <w:highlight w:val="none"/>
        </w:rPr>
      </w:pPr>
      <w:r>
        <w:rPr>
          <w:rFonts w:hint="eastAsia"/>
          <w:color w:val="auto"/>
          <w:highlight w:val="none"/>
        </w:rPr>
        <w:t>采购代理机构在中标人确定后2个工作日内，在“四川政府采购网”发布中标公告，同时采购代理机构将中标通知书快递至中标人。</w:t>
      </w:r>
    </w:p>
    <w:p>
      <w:pPr>
        <w:pStyle w:val="39"/>
        <w:bidi w:val="0"/>
        <w:rPr>
          <w:rFonts w:hint="eastAsia"/>
          <w:color w:val="auto"/>
          <w:highlight w:val="none"/>
        </w:rPr>
      </w:pPr>
      <w:r>
        <w:rPr>
          <w:rFonts w:hint="eastAsia"/>
          <w:color w:val="auto"/>
          <w:highlight w:val="none"/>
        </w:rPr>
        <w:t>招标采购单位不退回投标人投标文件和其他投标资料。</w:t>
      </w:r>
    </w:p>
    <w:bookmarkEnd w:id="1031"/>
    <w:p>
      <w:pPr>
        <w:pStyle w:val="24"/>
        <w:numPr>
          <w:ilvl w:val="1"/>
          <w:numId w:val="12"/>
        </w:numPr>
        <w:bidi w:val="0"/>
        <w:rPr>
          <w:rFonts w:hint="eastAsia"/>
          <w:color w:val="auto"/>
          <w:highlight w:val="none"/>
        </w:rPr>
      </w:pPr>
      <w:bookmarkStart w:id="1165" w:name="_Toc16879"/>
      <w:bookmarkStart w:id="1166" w:name="_Toc327196345"/>
      <w:bookmarkStart w:id="1167" w:name="_Toc8922"/>
      <w:bookmarkStart w:id="1168" w:name="_Toc25084"/>
      <w:bookmarkStart w:id="1169" w:name="_Toc15982"/>
      <w:bookmarkStart w:id="1170" w:name="_Toc308084650"/>
      <w:bookmarkStart w:id="1171" w:name="_Toc22537"/>
      <w:bookmarkStart w:id="1172" w:name="_Toc27662"/>
      <w:bookmarkStart w:id="1173" w:name="_Toc32114"/>
      <w:bookmarkStart w:id="1174" w:name="_Toc14102"/>
      <w:bookmarkStart w:id="1175" w:name="_Toc25198"/>
      <w:bookmarkStart w:id="1176" w:name="_Toc319440194"/>
      <w:bookmarkStart w:id="1177" w:name="_Toc8099"/>
      <w:bookmarkStart w:id="1178" w:name="_Toc307501159"/>
      <w:bookmarkStart w:id="1179" w:name="_Toc308188203"/>
      <w:bookmarkStart w:id="1180" w:name="_Toc10903"/>
      <w:bookmarkStart w:id="1181" w:name="_Toc309897568"/>
      <w:bookmarkStart w:id="1182" w:name="_Toc307564901"/>
      <w:bookmarkStart w:id="1183" w:name="_Toc319439950"/>
      <w:bookmarkStart w:id="1184" w:name="_Toc27423"/>
      <w:r>
        <w:rPr>
          <w:rFonts w:hint="eastAsia"/>
          <w:color w:val="auto"/>
          <w:highlight w:val="none"/>
          <w:lang w:eastAsia="zh-CN"/>
        </w:rPr>
        <w:t>评标专家</w:t>
      </w:r>
      <w:r>
        <w:rPr>
          <w:rFonts w:hint="eastAsia"/>
          <w:color w:val="auto"/>
          <w:highlight w:val="none"/>
        </w:rPr>
        <w:t>在政府采购活动中承担以下义务</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37"/>
        <w:numPr>
          <w:ilvl w:val="1"/>
          <w:numId w:val="35"/>
        </w:numPr>
        <w:bidi w:val="0"/>
        <w:rPr>
          <w:rFonts w:hint="eastAsia"/>
          <w:color w:val="auto"/>
          <w:highlight w:val="none"/>
        </w:rPr>
      </w:pPr>
      <w:r>
        <w:rPr>
          <w:rFonts w:hint="eastAsia"/>
          <w:color w:val="auto"/>
          <w:highlight w:val="none"/>
        </w:rPr>
        <w:t>遵守评标工作纪律；</w:t>
      </w:r>
    </w:p>
    <w:p>
      <w:pPr>
        <w:pStyle w:val="37"/>
        <w:numPr>
          <w:ilvl w:val="1"/>
          <w:numId w:val="35"/>
        </w:numPr>
        <w:bidi w:val="0"/>
        <w:rPr>
          <w:rFonts w:hint="eastAsia"/>
          <w:color w:val="auto"/>
          <w:highlight w:val="none"/>
        </w:rPr>
      </w:pPr>
      <w:r>
        <w:rPr>
          <w:rFonts w:hint="eastAsia"/>
          <w:color w:val="auto"/>
          <w:highlight w:val="none"/>
        </w:rPr>
        <w:t>按照客观、公正、审慎的原则，根据招标文件规定的评标程序、评标方法和评标标准进行独立评标；</w:t>
      </w:r>
    </w:p>
    <w:p>
      <w:pPr>
        <w:pStyle w:val="37"/>
        <w:numPr>
          <w:ilvl w:val="1"/>
          <w:numId w:val="35"/>
        </w:numPr>
        <w:bidi w:val="0"/>
        <w:rPr>
          <w:rFonts w:hint="eastAsia"/>
          <w:color w:val="auto"/>
          <w:highlight w:val="none"/>
        </w:rPr>
      </w:pPr>
      <w:r>
        <w:rPr>
          <w:rFonts w:hint="eastAsia"/>
          <w:color w:val="auto"/>
          <w:highlight w:val="none"/>
        </w:rPr>
        <w:t>不得泄露评标文件、评标情况和在评标过程中获悉的商业秘密；</w:t>
      </w:r>
    </w:p>
    <w:p>
      <w:pPr>
        <w:pStyle w:val="37"/>
        <w:numPr>
          <w:ilvl w:val="1"/>
          <w:numId w:val="35"/>
        </w:numPr>
        <w:bidi w:val="0"/>
        <w:rPr>
          <w:rFonts w:hint="eastAsia"/>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37"/>
        <w:numPr>
          <w:ilvl w:val="1"/>
          <w:numId w:val="35"/>
        </w:numPr>
        <w:bidi w:val="0"/>
        <w:rPr>
          <w:rFonts w:hint="eastAsia"/>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37"/>
        <w:numPr>
          <w:ilvl w:val="1"/>
          <w:numId w:val="35"/>
        </w:numPr>
        <w:bidi w:val="0"/>
        <w:rPr>
          <w:rFonts w:hint="eastAsia"/>
          <w:color w:val="auto"/>
          <w:highlight w:val="none"/>
        </w:rPr>
      </w:pPr>
      <w:r>
        <w:rPr>
          <w:rFonts w:hint="eastAsia"/>
          <w:color w:val="auto"/>
          <w:highlight w:val="none"/>
        </w:rPr>
        <w:t>及时向财政、监察等部门举报在评标过程中受到的非法干预情况；</w:t>
      </w:r>
    </w:p>
    <w:p>
      <w:pPr>
        <w:pStyle w:val="37"/>
        <w:numPr>
          <w:ilvl w:val="1"/>
          <w:numId w:val="35"/>
        </w:numPr>
        <w:bidi w:val="0"/>
        <w:rPr>
          <w:rFonts w:hint="eastAsia"/>
          <w:color w:val="auto"/>
          <w:highlight w:val="none"/>
        </w:rPr>
      </w:pPr>
      <w:r>
        <w:rPr>
          <w:rFonts w:hint="eastAsia"/>
          <w:color w:val="auto"/>
          <w:highlight w:val="none"/>
        </w:rPr>
        <w:t>配合答复处理供应商的询问、质疑和投诉等事项；</w:t>
      </w:r>
    </w:p>
    <w:p>
      <w:pPr>
        <w:pStyle w:val="37"/>
        <w:numPr>
          <w:ilvl w:val="1"/>
          <w:numId w:val="35"/>
        </w:numPr>
        <w:bidi w:val="0"/>
        <w:rPr>
          <w:rFonts w:hint="eastAsia"/>
          <w:color w:val="auto"/>
          <w:highlight w:val="none"/>
        </w:rPr>
      </w:pPr>
      <w:r>
        <w:rPr>
          <w:rFonts w:hint="eastAsia"/>
          <w:color w:val="auto"/>
          <w:highlight w:val="none"/>
        </w:rPr>
        <w:t>法律、法规和规章规定的其他义务。</w:t>
      </w:r>
    </w:p>
    <w:p>
      <w:pPr>
        <w:pStyle w:val="24"/>
        <w:numPr>
          <w:ilvl w:val="1"/>
          <w:numId w:val="12"/>
        </w:numPr>
        <w:bidi w:val="0"/>
        <w:rPr>
          <w:rFonts w:hint="eastAsia"/>
          <w:color w:val="auto"/>
          <w:highlight w:val="none"/>
        </w:rPr>
      </w:pPr>
      <w:bookmarkStart w:id="1185" w:name="_Toc28428"/>
      <w:bookmarkStart w:id="1186" w:name="_Toc319440195"/>
      <w:bookmarkStart w:id="1187" w:name="_Toc15127"/>
      <w:bookmarkStart w:id="1188" w:name="_Toc22368"/>
      <w:bookmarkStart w:id="1189" w:name="_Toc19071"/>
      <w:bookmarkStart w:id="1190" w:name="_Toc327196346"/>
      <w:bookmarkStart w:id="1191" w:name="_Toc30872"/>
      <w:bookmarkStart w:id="1192" w:name="_Toc4379"/>
      <w:bookmarkStart w:id="1193" w:name="_Toc24913"/>
      <w:bookmarkStart w:id="1194" w:name="_Toc1690"/>
      <w:bookmarkStart w:id="1195" w:name="_Toc27047"/>
      <w:bookmarkStart w:id="1196" w:name="_Toc12088"/>
      <w:bookmarkStart w:id="1197" w:name="_Toc29759"/>
      <w:bookmarkStart w:id="1198" w:name="_Toc3688"/>
      <w:r>
        <w:rPr>
          <w:rFonts w:hint="eastAsia"/>
          <w:color w:val="auto"/>
          <w:highlight w:val="none"/>
          <w:lang w:eastAsia="zh-CN"/>
        </w:rPr>
        <w:t>评标专家</w:t>
      </w:r>
      <w:r>
        <w:rPr>
          <w:rFonts w:hint="eastAsia"/>
          <w:color w:val="auto"/>
          <w:highlight w:val="none"/>
        </w:rPr>
        <w:t>在政府采购活动中应当遵守以下工作纪律</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pPr>
        <w:pStyle w:val="37"/>
        <w:numPr>
          <w:ilvl w:val="1"/>
          <w:numId w:val="36"/>
        </w:numPr>
        <w:bidi w:val="0"/>
        <w:rPr>
          <w:rFonts w:hint="eastAsia"/>
          <w:color w:val="auto"/>
          <w:highlight w:val="none"/>
        </w:rPr>
      </w:pPr>
      <w:bookmarkStart w:id="1199" w:name="_Toc28956"/>
      <w:r>
        <w:rPr>
          <w:rFonts w:hint="eastAsia"/>
          <w:color w:val="auto"/>
          <w:highlight w:val="none"/>
        </w:rPr>
        <w:t>遵行《</w:t>
      </w:r>
      <w:r>
        <w:rPr>
          <w:rFonts w:hint="eastAsia"/>
          <w:color w:val="auto"/>
          <w:highlight w:val="none"/>
          <w:lang w:val="en-US" w:eastAsia="zh-CN"/>
        </w:rPr>
        <w:t>中华人民共和国</w:t>
      </w:r>
      <w:r>
        <w:rPr>
          <w:rFonts w:hint="eastAsia"/>
          <w:color w:val="auto"/>
          <w:highlight w:val="none"/>
        </w:rPr>
        <w:t>政府采购法》第十二条和《</w:t>
      </w:r>
      <w:r>
        <w:rPr>
          <w:rFonts w:hint="eastAsia"/>
          <w:color w:val="auto"/>
          <w:highlight w:val="none"/>
          <w:lang w:val="en-US" w:eastAsia="zh-CN"/>
        </w:rPr>
        <w:t>中华人民共和国</w:t>
      </w:r>
      <w:r>
        <w:rPr>
          <w:rFonts w:hint="eastAsia"/>
          <w:color w:val="auto"/>
          <w:highlight w:val="none"/>
        </w:rPr>
        <w:t>政府采购法实施条例》第九条及财政部关于回避的规定；</w:t>
      </w:r>
    </w:p>
    <w:p>
      <w:pPr>
        <w:pStyle w:val="37"/>
        <w:numPr>
          <w:ilvl w:val="1"/>
          <w:numId w:val="36"/>
        </w:numPr>
        <w:bidi w:val="0"/>
        <w:rPr>
          <w:rFonts w:hint="eastAsia"/>
          <w:color w:val="auto"/>
          <w:highlight w:val="none"/>
        </w:rPr>
      </w:pPr>
      <w:r>
        <w:rPr>
          <w:rFonts w:hint="eastAsia"/>
          <w:color w:val="auto"/>
          <w:highlight w:val="none"/>
        </w:rPr>
        <w:t>评标前，应当将通讯工具或者相关电子设备交由招标采购单位统一保管；</w:t>
      </w:r>
    </w:p>
    <w:p>
      <w:pPr>
        <w:pStyle w:val="37"/>
        <w:numPr>
          <w:ilvl w:val="1"/>
          <w:numId w:val="36"/>
        </w:numPr>
        <w:bidi w:val="0"/>
        <w:rPr>
          <w:rFonts w:hint="eastAsia"/>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37"/>
        <w:numPr>
          <w:ilvl w:val="1"/>
          <w:numId w:val="36"/>
        </w:numPr>
        <w:bidi w:val="0"/>
        <w:rPr>
          <w:rFonts w:hint="eastAsia"/>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7"/>
        <w:numPr>
          <w:ilvl w:val="1"/>
          <w:numId w:val="36"/>
        </w:numPr>
        <w:bidi w:val="0"/>
        <w:rPr>
          <w:rFonts w:hint="eastAsia"/>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37"/>
        <w:numPr>
          <w:ilvl w:val="1"/>
          <w:numId w:val="36"/>
        </w:numPr>
        <w:bidi w:val="0"/>
        <w:rPr>
          <w:rFonts w:hint="eastAsia"/>
          <w:color w:val="auto"/>
          <w:highlight w:val="none"/>
          <w:lang w:eastAsia="zh-CN"/>
        </w:rPr>
      </w:pPr>
      <w:r>
        <w:rPr>
          <w:rFonts w:hint="eastAsia"/>
          <w:color w:val="auto"/>
          <w:highlight w:val="none"/>
        </w:rPr>
        <w:t>服从评标现场招标采购单位的现场秩序管理，接受评标现场监督人员的合法监督</w:t>
      </w:r>
      <w:r>
        <w:rPr>
          <w:rFonts w:hint="eastAsia"/>
          <w:color w:val="auto"/>
          <w:highlight w:val="none"/>
          <w:lang w:eastAsia="zh-CN"/>
        </w:rPr>
        <w:t>；</w:t>
      </w:r>
    </w:p>
    <w:p>
      <w:pPr>
        <w:pStyle w:val="37"/>
        <w:numPr>
          <w:ilvl w:val="1"/>
          <w:numId w:val="36"/>
        </w:numPr>
        <w:bidi w:val="0"/>
        <w:rPr>
          <w:rFonts w:hint="eastAsia"/>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37"/>
        <w:numPr>
          <w:ilvl w:val="1"/>
          <w:numId w:val="36"/>
        </w:numPr>
        <w:bidi w:val="0"/>
        <w:rPr>
          <w:rFonts w:hint="eastAsia"/>
          <w:color w:val="auto"/>
          <w:highlight w:val="none"/>
          <w:lang w:eastAsia="zh-CN"/>
        </w:rPr>
      </w:pPr>
      <w:r>
        <w:rPr>
          <w:rFonts w:hint="eastAsia"/>
          <w:color w:val="auto"/>
          <w:highlight w:val="none"/>
        </w:rPr>
        <w:t>有关部门(机构)制定的其他评审工作纪律</w:t>
      </w:r>
      <w:r>
        <w:rPr>
          <w:rFonts w:hint="eastAsia"/>
          <w:color w:val="auto"/>
          <w:highlight w:val="none"/>
          <w:lang w:eastAsia="zh-CN"/>
        </w:rPr>
        <w:t>。</w:t>
      </w:r>
    </w:p>
    <w:p>
      <w:pPr>
        <w:pStyle w:val="24"/>
        <w:numPr>
          <w:ilvl w:val="1"/>
          <w:numId w:val="12"/>
        </w:numPr>
        <w:bidi w:val="0"/>
        <w:rPr>
          <w:rFonts w:hint="eastAsia"/>
          <w:color w:val="auto"/>
          <w:highlight w:val="none"/>
        </w:rPr>
      </w:pPr>
      <w:bookmarkStart w:id="1200" w:name="_Toc8256"/>
      <w:bookmarkStart w:id="1201" w:name="_Toc30239"/>
      <w:bookmarkStart w:id="1202" w:name="_Toc28174"/>
      <w:bookmarkStart w:id="1203" w:name="_Toc26220"/>
      <w:r>
        <w:rPr>
          <w:rFonts w:hint="eastAsia"/>
          <w:color w:val="auto"/>
          <w:highlight w:val="none"/>
        </w:rPr>
        <w:t>评标委员会及其成员不得有下列行为</w:t>
      </w:r>
      <w:bookmarkEnd w:id="1200"/>
      <w:bookmarkEnd w:id="1201"/>
      <w:bookmarkEnd w:id="1202"/>
      <w:bookmarkEnd w:id="1203"/>
    </w:p>
    <w:p>
      <w:pPr>
        <w:pStyle w:val="37"/>
        <w:numPr>
          <w:ilvl w:val="1"/>
          <w:numId w:val="37"/>
        </w:numPr>
        <w:bidi w:val="0"/>
        <w:rPr>
          <w:rFonts w:hint="eastAsia"/>
          <w:color w:val="auto"/>
          <w:highlight w:val="none"/>
        </w:rPr>
      </w:pPr>
      <w:r>
        <w:rPr>
          <w:rFonts w:hint="eastAsia"/>
          <w:color w:val="auto"/>
          <w:highlight w:val="none"/>
        </w:rPr>
        <w:t>确定参与评标至评标结束前私自接触投标人；</w:t>
      </w:r>
    </w:p>
    <w:p>
      <w:pPr>
        <w:pStyle w:val="37"/>
        <w:numPr>
          <w:ilvl w:val="1"/>
          <w:numId w:val="37"/>
        </w:numPr>
        <w:bidi w:val="0"/>
        <w:rPr>
          <w:rFonts w:hint="eastAsia"/>
          <w:color w:val="auto"/>
          <w:highlight w:val="none"/>
        </w:rPr>
      </w:pPr>
      <w:r>
        <w:rPr>
          <w:rFonts w:hint="eastAsia"/>
          <w:color w:val="auto"/>
          <w:highlight w:val="none"/>
        </w:rPr>
        <w:t>接受投标人提出的与投标文件不一致的澄清或者说明，《政府采购货物和服务招标投标管理办法》</w:t>
      </w:r>
      <w:r>
        <w:rPr>
          <w:rFonts w:hint="eastAsia"/>
          <w:color w:val="auto"/>
          <w:highlight w:val="none"/>
          <w:lang w:eastAsia="zh-CN"/>
        </w:rPr>
        <w:t>(</w:t>
      </w:r>
      <w:r>
        <w:rPr>
          <w:rFonts w:hint="eastAsia"/>
          <w:color w:val="auto"/>
          <w:highlight w:val="none"/>
        </w:rPr>
        <w:t>财政部令第87号</w:t>
      </w:r>
      <w:r>
        <w:rPr>
          <w:rFonts w:hint="eastAsia"/>
          <w:color w:val="auto"/>
          <w:highlight w:val="none"/>
          <w:lang w:eastAsia="zh-CN"/>
        </w:rPr>
        <w:t>)</w:t>
      </w:r>
      <w:r>
        <w:rPr>
          <w:rFonts w:hint="eastAsia"/>
          <w:color w:val="auto"/>
          <w:highlight w:val="none"/>
        </w:rPr>
        <w:t>第五十一条规定的情形除外；</w:t>
      </w:r>
    </w:p>
    <w:p>
      <w:pPr>
        <w:pStyle w:val="37"/>
        <w:numPr>
          <w:ilvl w:val="1"/>
          <w:numId w:val="37"/>
        </w:numPr>
        <w:bidi w:val="0"/>
        <w:rPr>
          <w:rFonts w:hint="eastAsia"/>
          <w:color w:val="auto"/>
          <w:highlight w:val="none"/>
        </w:rPr>
      </w:pPr>
      <w:r>
        <w:rPr>
          <w:rFonts w:hint="eastAsia"/>
          <w:color w:val="auto"/>
          <w:highlight w:val="none"/>
        </w:rPr>
        <w:t>违反评标纪律发表倾向性意见或者征询采购人的倾向性意见；</w:t>
      </w:r>
    </w:p>
    <w:p>
      <w:pPr>
        <w:pStyle w:val="37"/>
        <w:numPr>
          <w:ilvl w:val="1"/>
          <w:numId w:val="37"/>
        </w:numPr>
        <w:bidi w:val="0"/>
        <w:rPr>
          <w:rFonts w:hint="eastAsia"/>
          <w:color w:val="auto"/>
          <w:highlight w:val="none"/>
        </w:rPr>
      </w:pPr>
      <w:r>
        <w:rPr>
          <w:rFonts w:hint="eastAsia"/>
          <w:color w:val="auto"/>
          <w:highlight w:val="none"/>
        </w:rPr>
        <w:t>对需要专业判断的主观评审因素协商评分；</w:t>
      </w:r>
    </w:p>
    <w:p>
      <w:pPr>
        <w:pStyle w:val="37"/>
        <w:numPr>
          <w:ilvl w:val="1"/>
          <w:numId w:val="37"/>
        </w:numPr>
        <w:bidi w:val="0"/>
        <w:rPr>
          <w:rFonts w:hint="eastAsia"/>
          <w:color w:val="auto"/>
          <w:highlight w:val="none"/>
        </w:rPr>
      </w:pPr>
      <w:r>
        <w:rPr>
          <w:rFonts w:hint="eastAsia"/>
          <w:color w:val="auto"/>
          <w:highlight w:val="none"/>
        </w:rPr>
        <w:t>在评标过程中擅离职守，影响评标程序正常进行的；</w:t>
      </w:r>
    </w:p>
    <w:p>
      <w:pPr>
        <w:pStyle w:val="37"/>
        <w:numPr>
          <w:ilvl w:val="1"/>
          <w:numId w:val="37"/>
        </w:numPr>
        <w:bidi w:val="0"/>
        <w:rPr>
          <w:rFonts w:hint="eastAsia"/>
          <w:color w:val="auto"/>
          <w:highlight w:val="none"/>
        </w:rPr>
      </w:pPr>
      <w:r>
        <w:rPr>
          <w:rFonts w:hint="eastAsia"/>
          <w:color w:val="auto"/>
          <w:highlight w:val="none"/>
        </w:rPr>
        <w:t>记录、复制或者带走任何评标资料；</w:t>
      </w:r>
    </w:p>
    <w:p>
      <w:pPr>
        <w:pStyle w:val="37"/>
        <w:numPr>
          <w:ilvl w:val="1"/>
          <w:numId w:val="37"/>
        </w:numPr>
        <w:bidi w:val="0"/>
        <w:rPr>
          <w:rFonts w:hint="eastAsia"/>
          <w:color w:val="auto"/>
          <w:highlight w:val="none"/>
        </w:rPr>
      </w:pPr>
      <w:r>
        <w:rPr>
          <w:rFonts w:hint="eastAsia"/>
          <w:color w:val="auto"/>
          <w:highlight w:val="none"/>
        </w:rPr>
        <w:t>其他不遵守评标纪律的行为。</w:t>
      </w:r>
    </w:p>
    <w:p>
      <w:pPr>
        <w:pStyle w:val="29"/>
        <w:bidi w:val="0"/>
        <w:rPr>
          <w:rFonts w:hint="eastAsia"/>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24"/>
        <w:numPr>
          <w:ilvl w:val="1"/>
          <w:numId w:val="12"/>
        </w:numPr>
        <w:bidi w:val="0"/>
        <w:rPr>
          <w:rFonts w:hint="eastAsia"/>
          <w:color w:val="auto"/>
          <w:highlight w:val="none"/>
        </w:rPr>
      </w:pPr>
      <w:bookmarkStart w:id="1204" w:name="_Toc13225"/>
      <w:bookmarkStart w:id="1205" w:name="_Toc8018"/>
      <w:r>
        <w:rPr>
          <w:rFonts w:hint="eastAsia"/>
          <w:color w:val="auto"/>
          <w:highlight w:val="none"/>
          <w:lang w:val="en-US" w:eastAsia="zh-CN"/>
        </w:rPr>
        <w:t>评标委员会及其成员不得有下列违约情形</w:t>
      </w:r>
      <w:bookmarkEnd w:id="1204"/>
      <w:bookmarkEnd w:id="1205"/>
    </w:p>
    <w:p>
      <w:pPr>
        <w:pStyle w:val="37"/>
        <w:numPr>
          <w:ilvl w:val="1"/>
          <w:numId w:val="38"/>
        </w:numPr>
        <w:bidi w:val="0"/>
        <w:rPr>
          <w:rFonts w:hint="eastAsia"/>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37"/>
        <w:numPr>
          <w:ilvl w:val="1"/>
          <w:numId w:val="38"/>
        </w:numPr>
        <w:bidi w:val="0"/>
        <w:rPr>
          <w:rFonts w:hint="eastAsia"/>
          <w:color w:val="auto"/>
          <w:highlight w:val="none"/>
        </w:rPr>
      </w:pPr>
      <w:r>
        <w:rPr>
          <w:rFonts w:hint="eastAsia"/>
          <w:color w:val="auto"/>
          <w:highlight w:val="none"/>
        </w:rPr>
        <w:t>不遵守评审现场工作纪律的；</w:t>
      </w:r>
    </w:p>
    <w:p>
      <w:pPr>
        <w:pStyle w:val="37"/>
        <w:numPr>
          <w:ilvl w:val="1"/>
          <w:numId w:val="38"/>
        </w:numPr>
        <w:bidi w:val="0"/>
        <w:rPr>
          <w:rFonts w:hint="eastAsia"/>
          <w:color w:val="auto"/>
          <w:highlight w:val="none"/>
        </w:rPr>
      </w:pPr>
      <w:r>
        <w:rPr>
          <w:rFonts w:hint="eastAsia"/>
          <w:color w:val="auto"/>
          <w:highlight w:val="none"/>
        </w:rPr>
        <w:t>明显故意拖延评审时间的；</w:t>
      </w:r>
    </w:p>
    <w:p>
      <w:pPr>
        <w:pStyle w:val="37"/>
        <w:numPr>
          <w:ilvl w:val="1"/>
          <w:numId w:val="38"/>
        </w:numPr>
        <w:bidi w:val="0"/>
        <w:rPr>
          <w:rFonts w:hint="eastAsia"/>
          <w:color w:val="auto"/>
          <w:highlight w:val="none"/>
        </w:rPr>
      </w:pPr>
      <w:r>
        <w:rPr>
          <w:rFonts w:hint="eastAsia"/>
          <w:color w:val="auto"/>
          <w:highlight w:val="none"/>
        </w:rPr>
        <w:t>抄袭其他评审委员会成员的评审意见的；</w:t>
      </w:r>
    </w:p>
    <w:p>
      <w:pPr>
        <w:pStyle w:val="37"/>
        <w:numPr>
          <w:ilvl w:val="1"/>
          <w:numId w:val="38"/>
        </w:numPr>
        <w:bidi w:val="0"/>
        <w:rPr>
          <w:rFonts w:hint="eastAsia"/>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37"/>
        <w:numPr>
          <w:ilvl w:val="1"/>
          <w:numId w:val="38"/>
        </w:numPr>
        <w:bidi w:val="0"/>
        <w:rPr>
          <w:rFonts w:hint="eastAsia"/>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37"/>
        <w:numPr>
          <w:ilvl w:val="1"/>
          <w:numId w:val="38"/>
        </w:numPr>
        <w:bidi w:val="0"/>
        <w:rPr>
          <w:rFonts w:hint="eastAsia"/>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37"/>
        <w:numPr>
          <w:ilvl w:val="1"/>
          <w:numId w:val="38"/>
        </w:numPr>
        <w:bidi w:val="0"/>
        <w:rPr>
          <w:rFonts w:hint="eastAsia"/>
          <w:color w:val="auto"/>
          <w:highlight w:val="none"/>
        </w:rPr>
      </w:pPr>
      <w:r>
        <w:rPr>
          <w:rFonts w:hint="eastAsia"/>
          <w:color w:val="auto"/>
          <w:highlight w:val="none"/>
        </w:rPr>
        <w:t>存在其他违反政府采购法规制度，但不构成行政处罚行为的。</w:t>
      </w:r>
    </w:p>
    <w:p>
      <w:pPr>
        <w:pStyle w:val="26"/>
        <w:bidi w:val="0"/>
        <w:rPr>
          <w:rFonts w:hint="eastAsia"/>
          <w:color w:val="auto"/>
          <w:highlight w:val="none"/>
        </w:rPr>
      </w:pPr>
    </w:p>
    <w:p>
      <w:pPr>
        <w:pStyle w:val="25"/>
        <w:numPr>
          <w:ilvl w:val="0"/>
          <w:numId w:val="12"/>
        </w:numPr>
        <w:bidi w:val="0"/>
        <w:rPr>
          <w:rFonts w:hint="eastAsia"/>
          <w:color w:val="auto"/>
          <w:highlight w:val="none"/>
        </w:rPr>
      </w:pPr>
      <w:r>
        <w:rPr>
          <w:rFonts w:hint="eastAsia"/>
          <w:color w:val="auto"/>
          <w:highlight w:val="none"/>
        </w:rPr>
        <w:br w:type="page"/>
      </w:r>
      <w:bookmarkEnd w:id="1199"/>
      <w:bookmarkStart w:id="1206" w:name="_Toc18908"/>
      <w:bookmarkStart w:id="1207" w:name="_Toc13264"/>
      <w:bookmarkStart w:id="1208" w:name="_Toc13695"/>
      <w:bookmarkStart w:id="1209" w:name="_Toc229"/>
      <w:bookmarkStart w:id="1210" w:name="_Toc7547"/>
      <w:r>
        <w:rPr>
          <w:rFonts w:hint="eastAsia"/>
          <w:color w:val="auto"/>
          <w:highlight w:val="none"/>
        </w:rPr>
        <w:t>政府采购合同</w:t>
      </w:r>
      <w:bookmarkEnd w:id="1206"/>
      <w:bookmarkEnd w:id="1207"/>
      <w:bookmarkEnd w:id="1208"/>
      <w:bookmarkEnd w:id="1209"/>
      <w:bookmarkEnd w:id="1210"/>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p>
    <w:p>
      <w:pPr>
        <w:pStyle w:val="26"/>
        <w:bidi w:val="0"/>
        <w:rPr>
          <w:rFonts w:hint="eastAsia"/>
          <w:color w:val="auto"/>
          <w:highlight w:val="none"/>
        </w:rPr>
      </w:pPr>
    </w:p>
    <w:p>
      <w:pPr>
        <w:adjustRightInd w:val="0"/>
        <w:snapToGrid w:val="0"/>
        <w:spacing w:line="520" w:lineRule="exact"/>
        <w:jc w:val="center"/>
        <w:rPr>
          <w:rFonts w:hint="eastAsia" w:ascii="宋体" w:hAnsi="宋体" w:eastAsia="宋体" w:cs="宋体"/>
          <w:b/>
          <w:bCs/>
          <w:color w:val="auto"/>
          <w:sz w:val="28"/>
          <w:szCs w:val="28"/>
          <w:highlight w:val="none"/>
        </w:rPr>
      </w:pPr>
      <w:r>
        <w:rPr>
          <w:rFonts w:hint="eastAsia" w:cs="宋体"/>
          <w:b/>
          <w:bCs/>
          <w:color w:val="auto"/>
          <w:sz w:val="28"/>
          <w:szCs w:val="28"/>
          <w:highlight w:val="none"/>
          <w:lang w:eastAsia="zh-CN"/>
        </w:rPr>
        <w:t>成都市技师学院2022年教职工(含离退休职工)健康体检服务采购项目(第二次)</w:t>
      </w:r>
      <w:r>
        <w:rPr>
          <w:rFonts w:hint="eastAsia" w:ascii="宋体" w:hAnsi="宋体" w:eastAsia="宋体" w:cs="宋体"/>
          <w:b/>
          <w:bCs/>
          <w:color w:val="auto"/>
          <w:sz w:val="28"/>
          <w:szCs w:val="28"/>
          <w:highlight w:val="none"/>
        </w:rPr>
        <w:t>合同文本主要条款</w:t>
      </w:r>
    </w:p>
    <w:p>
      <w:pPr>
        <w:pStyle w:val="76"/>
        <w:rPr>
          <w:rFonts w:hint="eastAsia" w:ascii="宋体" w:hAnsi="宋体" w:eastAsia="宋体" w:cs="宋体"/>
          <w:color w:val="auto"/>
          <w:highlight w:val="none"/>
        </w:rPr>
      </w:pPr>
    </w:p>
    <w:p>
      <w:pPr>
        <w:pStyle w:val="26"/>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rPr>
        <w:t>合同编号：</w:t>
      </w:r>
    </w:p>
    <w:p>
      <w:pPr>
        <w:pStyle w:val="26"/>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rPr>
        <w:t>签订地点：成都市郫都区红光街道港通北三路1899号</w:t>
      </w:r>
    </w:p>
    <w:p>
      <w:pPr>
        <w:pStyle w:val="26"/>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rPr>
        <w:t>签订时间：</w:t>
      </w:r>
    </w:p>
    <w:p>
      <w:pPr>
        <w:pStyle w:val="26"/>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rPr>
        <w:t>甲方(采购人)：成都市技师学院</w:t>
      </w:r>
    </w:p>
    <w:p>
      <w:pPr>
        <w:pStyle w:val="26"/>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rPr>
        <w:t>乙方(</w:t>
      </w:r>
      <w:r>
        <w:rPr>
          <w:rFonts w:hint="eastAsia" w:ascii="宋体" w:hAnsi="宋体" w:eastAsia="宋体" w:cs="宋体"/>
          <w:snapToGrid/>
          <w:color w:val="auto"/>
          <w:sz w:val="24"/>
          <w:szCs w:val="24"/>
          <w:highlight w:val="none"/>
          <w:lang w:val="en-US" w:eastAsia="zh-CN"/>
        </w:rPr>
        <w:t>投标人</w:t>
      </w:r>
      <w:r>
        <w:rPr>
          <w:rFonts w:hint="eastAsia" w:ascii="宋体" w:hAnsi="宋体" w:eastAsia="宋体" w:cs="宋体"/>
          <w:snapToGrid/>
          <w:color w:val="auto"/>
          <w:sz w:val="24"/>
          <w:szCs w:val="24"/>
          <w:highlight w:val="none"/>
        </w:rPr>
        <w:t xml:space="preserve">)：    </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根据《中华人民共和国政府采购法》、《中华人民共和国民法典》及成都市技师学院2022年教职工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含离退休职工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项目编号：XXX</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文件、乙方的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文件及</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通知书，甲、乙双方同意签订本合同，共同遵守如下条款：</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为成都市技师学院</w:t>
      </w:r>
      <w:r>
        <w:rPr>
          <w:rFonts w:hint="eastAsia" w:ascii="宋体" w:hAnsi="宋体" w:eastAsia="宋体" w:cs="宋体"/>
          <w:color w:val="auto"/>
          <w:sz w:val="24"/>
          <w:szCs w:val="24"/>
          <w:highlight w:val="none"/>
          <w:lang w:val="en-US" w:eastAsia="zh-CN"/>
        </w:rPr>
        <w:t>教</w:t>
      </w:r>
      <w:r>
        <w:rPr>
          <w:rFonts w:hint="eastAsia" w:ascii="宋体" w:hAnsi="宋体" w:eastAsia="宋体" w:cs="宋体"/>
          <w:color w:val="auto"/>
          <w:sz w:val="24"/>
          <w:szCs w:val="24"/>
          <w:highlight w:val="none"/>
        </w:rPr>
        <w:t>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含离退休职工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健康</w:t>
      </w:r>
      <w:r>
        <w:rPr>
          <w:rFonts w:hint="eastAsia" w:ascii="宋体" w:hAnsi="宋体" w:eastAsia="宋体" w:cs="宋体"/>
          <w:color w:val="auto"/>
          <w:sz w:val="24"/>
          <w:szCs w:val="24"/>
          <w:highlight w:val="none"/>
        </w:rPr>
        <w:t>体检服务，</w:t>
      </w:r>
      <w:r>
        <w:rPr>
          <w:rFonts w:hint="eastAsia" w:ascii="宋体" w:hAnsi="宋体" w:eastAsia="宋体" w:cs="宋体"/>
          <w:color w:val="auto"/>
          <w:sz w:val="24"/>
          <w:szCs w:val="24"/>
          <w:highlight w:val="none"/>
          <w:lang w:val="en-US" w:eastAsia="zh-CN"/>
        </w:rPr>
        <w:t xml:space="preserve">参加体检的人数为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二、服务内容及要求</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rPr>
        <w:t>体检内容及要求：</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详见招标文件体检内容</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项目实施要求：</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为当日参与体检的人员提供营养早餐一份，包含：牛奶一盒，鸡蛋一个，糕点一份，小菜一份，粥一份，其中糕点、小菜、粥可续加。</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val="en-US" w:eastAsia="zh-CN"/>
        </w:rPr>
        <w:t>从</w:t>
      </w:r>
      <w:r>
        <w:rPr>
          <w:rFonts w:hint="eastAsia" w:ascii="宋体" w:hAnsi="宋体" w:eastAsia="宋体" w:cs="宋体"/>
          <w:color w:val="auto"/>
          <w:sz w:val="24"/>
          <w:szCs w:val="24"/>
          <w:highlight w:val="none"/>
        </w:rPr>
        <w:t>合同签订之日起30个工作日内为</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集中体检时间，该时段内</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提供不低于15个工作日的体检绿色通道</w:t>
      </w:r>
      <w:r>
        <w:rPr>
          <w:rFonts w:hint="eastAsia" w:ascii="宋体" w:hAnsi="宋体" w:eastAsia="宋体" w:cs="宋体"/>
          <w:color w:val="auto"/>
          <w:sz w:val="24"/>
          <w:szCs w:val="24"/>
          <w:highlight w:val="none"/>
          <w:lang w:eastAsia="zh-CN"/>
        </w:rPr>
        <w:t>及大巴车接送服务，</w:t>
      </w:r>
      <w:r>
        <w:rPr>
          <w:rFonts w:hint="eastAsia" w:ascii="宋体" w:hAnsi="宋体" w:eastAsia="宋体" w:cs="宋体"/>
          <w:color w:val="auto"/>
          <w:sz w:val="24"/>
          <w:szCs w:val="24"/>
          <w:highlight w:val="none"/>
        </w:rPr>
        <w:t>以确保服务流程顺畅，确保对每一名职工的服务保障。其余时间由甲方教职工自行前往进行体检，乙方按本合同要求提供同等服务。</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rPr>
        <w:t>个人体检完成后</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须在</w:t>
      </w:r>
      <w:r>
        <w:rPr>
          <w:rFonts w:hint="eastAsia" w:ascii="宋体" w:hAnsi="宋体" w:eastAsia="宋体" w:cs="宋体"/>
          <w:color w:val="auto"/>
          <w:sz w:val="24"/>
          <w:szCs w:val="24"/>
          <w:highlight w:val="none"/>
        </w:rPr>
        <w:t>十个工作日内向</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提供纸质版本体检图文报告；体检图文报告须包含：分析总结检测结果、临床医学专家审核意见；同时，本项目工作完成后须</w:t>
      </w:r>
      <w:r>
        <w:rPr>
          <w:rFonts w:hint="eastAsia" w:ascii="宋体" w:hAnsi="宋体" w:eastAsia="宋体" w:cs="宋体"/>
          <w:color w:val="auto"/>
          <w:sz w:val="24"/>
          <w:szCs w:val="24"/>
          <w:highlight w:val="none"/>
          <w:lang w:val="en-US" w:eastAsia="zh-CN"/>
        </w:rPr>
        <w:t>向采购人</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单位健康状况分析报告。</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如体检人员检查出重大疾病，需要进一步诊断的，</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en-US" w:eastAsia="zh-CN"/>
        </w:rPr>
        <w:t>须积极配合，</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需配备核磁、胃肠镜等</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进一步诊断费用由职工个人支付。</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职工体检前两个工作日内向</w:t>
      </w:r>
      <w:r>
        <w:rPr>
          <w:rFonts w:hint="eastAsia" w:ascii="宋体" w:hAnsi="宋体" w:eastAsia="宋体" w:cs="宋体"/>
          <w:color w:val="auto"/>
          <w:sz w:val="24"/>
          <w:szCs w:val="24"/>
          <w:highlight w:val="none"/>
          <w:lang w:eastAsia="zh-CN"/>
        </w:rPr>
        <w:t>甲方说明</w:t>
      </w:r>
      <w:r>
        <w:rPr>
          <w:rFonts w:hint="eastAsia" w:ascii="宋体" w:hAnsi="宋体" w:eastAsia="宋体" w:cs="宋体"/>
          <w:color w:val="auto"/>
          <w:sz w:val="24"/>
          <w:szCs w:val="24"/>
          <w:highlight w:val="none"/>
        </w:rPr>
        <w:t>健康检查注意事项。</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应落实保密制度，不得将信息告知其他人员。</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val="en-US" w:eastAsia="zh-CN"/>
        </w:rPr>
        <w:t>为满足</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lang w:val="en-US" w:eastAsia="zh-CN"/>
        </w:rPr>
        <w:t>实际体检人数要求，</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具有独立的健康检查场所,能做到检患分离，男士女士体检分区，且能满足单日接待健康检查400人及以上健康检查能力。</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b/>
          <w:bCs/>
          <w:color w:val="auto"/>
          <w:highlight w:val="none"/>
          <w:lang w:val="en-US" w:eastAsia="zh-CN"/>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承诺在体检前后安排不少于2名具有高级职称的医生到</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单位做健康</w:t>
      </w:r>
      <w:r>
        <w:rPr>
          <w:rFonts w:hint="eastAsia" w:ascii="宋体" w:hAnsi="宋体" w:eastAsia="宋体" w:cs="宋体"/>
          <w:color w:val="auto"/>
          <w:sz w:val="24"/>
          <w:szCs w:val="24"/>
          <w:highlight w:val="none"/>
          <w:lang w:val="en-US" w:eastAsia="zh-CN"/>
        </w:rPr>
        <w:t>知识</w:t>
      </w:r>
      <w:r>
        <w:rPr>
          <w:rFonts w:hint="eastAsia" w:ascii="宋体" w:hAnsi="宋体" w:eastAsia="宋体" w:cs="宋体"/>
          <w:color w:val="auto"/>
          <w:sz w:val="24"/>
          <w:szCs w:val="24"/>
          <w:highlight w:val="none"/>
        </w:rPr>
        <w:t>讲座</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体检结果解读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健康辅导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其中</w:t>
      </w:r>
      <w:r>
        <w:rPr>
          <w:rFonts w:hint="eastAsia" w:ascii="宋体" w:hAnsi="宋体" w:eastAsia="宋体" w:cs="宋体"/>
          <w:color w:val="auto"/>
          <w:sz w:val="24"/>
          <w:szCs w:val="24"/>
          <w:highlight w:val="none"/>
        </w:rPr>
        <w:t>体检结果解读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健康辅导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至少二次，</w:t>
      </w:r>
      <w:r>
        <w:rPr>
          <w:rFonts w:hint="eastAsia" w:ascii="宋体" w:hAnsi="宋体" w:eastAsia="宋体" w:cs="宋体"/>
          <w:color w:val="auto"/>
          <w:sz w:val="24"/>
          <w:szCs w:val="24"/>
          <w:highlight w:val="none"/>
        </w:rPr>
        <w:t>健康知识讲座</w:t>
      </w:r>
      <w:r>
        <w:rPr>
          <w:rFonts w:hint="eastAsia" w:ascii="宋体" w:hAnsi="宋体" w:eastAsia="宋体" w:cs="宋体"/>
          <w:color w:val="auto"/>
          <w:sz w:val="24"/>
          <w:szCs w:val="24"/>
          <w:highlight w:val="none"/>
          <w:lang w:val="en-US" w:eastAsia="zh-CN"/>
        </w:rPr>
        <w:t>至少二</w:t>
      </w:r>
      <w:r>
        <w:rPr>
          <w:rFonts w:hint="eastAsia" w:ascii="宋体" w:hAnsi="宋体" w:eastAsia="宋体" w:cs="宋体"/>
          <w:color w:val="auto"/>
          <w:sz w:val="24"/>
          <w:szCs w:val="24"/>
          <w:highlight w:val="none"/>
          <w:lang w:eastAsia="zh-CN"/>
        </w:rPr>
        <w:t>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b/>
          <w:bCs/>
          <w:color w:val="auto"/>
          <w:highlight w:val="none"/>
          <w:lang w:val="en-US" w:eastAsia="zh-CN"/>
        </w:rPr>
        <w:t>★</w:t>
      </w:r>
      <w:r>
        <w:rPr>
          <w:rFonts w:hint="eastAsia" w:ascii="宋体" w:hAnsi="宋体" w:eastAsia="宋体" w:cs="宋体"/>
          <w:color w:val="auto"/>
          <w:sz w:val="24"/>
          <w:szCs w:val="24"/>
          <w:highlight w:val="none"/>
        </w:rPr>
        <w:t>如因</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工作人员在履行职务过程中的疏忽、失职、过错等故意或者过失原因给</w:t>
      </w:r>
      <w:r>
        <w:rPr>
          <w:rFonts w:hint="eastAsia" w:ascii="宋体" w:hAnsi="宋体" w:eastAsia="宋体" w:cs="宋体"/>
          <w:color w:val="auto"/>
          <w:sz w:val="24"/>
          <w:szCs w:val="24"/>
          <w:highlight w:val="none"/>
          <w:lang w:val="en-US" w:eastAsia="zh-CN"/>
        </w:rPr>
        <w:t>甲方或甲方体检人员</w:t>
      </w:r>
      <w:r>
        <w:rPr>
          <w:rFonts w:hint="eastAsia" w:ascii="宋体" w:hAnsi="宋体" w:eastAsia="宋体" w:cs="宋体"/>
          <w:color w:val="auto"/>
          <w:sz w:val="24"/>
          <w:szCs w:val="24"/>
          <w:highlight w:val="none"/>
        </w:rPr>
        <w:t>造成损失或侵害，包括但不限于</w:t>
      </w:r>
      <w:r>
        <w:rPr>
          <w:rFonts w:hint="eastAsia" w:ascii="宋体" w:hAnsi="宋体" w:eastAsia="宋体" w:cs="宋体"/>
          <w:color w:val="auto"/>
          <w:sz w:val="24"/>
          <w:szCs w:val="24"/>
          <w:highlight w:val="none"/>
          <w:lang w:val="en-US" w:eastAsia="zh-CN"/>
        </w:rPr>
        <w:t>甲方或甲方体检人员</w:t>
      </w:r>
      <w:r>
        <w:rPr>
          <w:rFonts w:hint="eastAsia" w:ascii="宋体" w:hAnsi="宋体" w:eastAsia="宋体" w:cs="宋体"/>
          <w:color w:val="auto"/>
          <w:sz w:val="24"/>
          <w:szCs w:val="24"/>
          <w:highlight w:val="none"/>
        </w:rPr>
        <w:t>本身的财产损失、由此而导致的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对任何第三方的法律责任等，</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对此均应承担全部的赔偿责任</w:t>
      </w:r>
      <w:r>
        <w:rPr>
          <w:rFonts w:hint="eastAsia" w:ascii="宋体" w:hAnsi="宋体" w:eastAsia="宋体" w:cs="宋体"/>
          <w:color w:val="auto"/>
          <w:sz w:val="24"/>
          <w:szCs w:val="24"/>
          <w:highlight w:val="none"/>
          <w:lang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的教职工需要预约门诊专家号的，</w:t>
      </w:r>
      <w:r>
        <w:rPr>
          <w:rFonts w:hint="eastAsia" w:ascii="宋体" w:hAnsi="宋体" w:eastAsia="宋体" w:cs="宋体"/>
          <w:color w:val="auto"/>
          <w:sz w:val="24"/>
          <w:szCs w:val="24"/>
          <w:highlight w:val="none"/>
          <w:lang w:eastAsia="zh-CN"/>
        </w:rPr>
        <w:t>乙方能够</w:t>
      </w:r>
      <w:r>
        <w:rPr>
          <w:rFonts w:hint="eastAsia" w:ascii="宋体" w:hAnsi="宋体" w:eastAsia="宋体" w:cs="宋体"/>
          <w:color w:val="auto"/>
          <w:sz w:val="24"/>
          <w:szCs w:val="24"/>
          <w:highlight w:val="none"/>
        </w:rPr>
        <w:t>协助</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的教职工预约</w:t>
      </w:r>
      <w:r>
        <w:rPr>
          <w:rFonts w:hint="eastAsia" w:ascii="宋体" w:hAnsi="宋体" w:eastAsia="宋体" w:cs="宋体"/>
          <w:color w:val="auto"/>
          <w:sz w:val="24"/>
          <w:szCs w:val="24"/>
          <w:highlight w:val="none"/>
          <w:lang w:eastAsia="zh-CN"/>
        </w:rPr>
        <w:t>乙方常年正常开诊</w:t>
      </w:r>
      <w:r>
        <w:rPr>
          <w:rFonts w:hint="eastAsia" w:ascii="宋体" w:hAnsi="宋体" w:eastAsia="宋体" w:cs="宋体"/>
          <w:color w:val="auto"/>
          <w:sz w:val="24"/>
          <w:szCs w:val="24"/>
          <w:highlight w:val="none"/>
        </w:rPr>
        <w:t>专家号</w:t>
      </w:r>
      <w:r>
        <w:rPr>
          <w:rFonts w:hint="eastAsia" w:cs="宋体"/>
          <w:color w:val="auto"/>
          <w:sz w:val="24"/>
          <w:szCs w:val="24"/>
          <w:highlight w:val="none"/>
          <w:lang w:val="en-US" w:eastAsia="zh-CN"/>
        </w:rPr>
        <w:t>,且甲方和甲方的教职工不另行支付该费用</w:t>
      </w:r>
      <w:r>
        <w:rPr>
          <w:rFonts w:hint="eastAsia" w:ascii="宋体" w:hAnsi="宋体" w:eastAsia="宋体" w:cs="宋体"/>
          <w:color w:val="auto"/>
          <w:sz w:val="24"/>
          <w:szCs w:val="24"/>
          <w:highlight w:val="none"/>
          <w:lang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11.当</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HPV16.18型</w:t>
      </w:r>
      <w:r>
        <w:rPr>
          <w:rFonts w:hint="eastAsia" w:ascii="宋体" w:hAnsi="宋体" w:eastAsia="宋体" w:cs="宋体"/>
          <w:color w:val="auto"/>
          <w:sz w:val="24"/>
          <w:szCs w:val="24"/>
          <w:highlight w:val="none"/>
          <w:lang w:eastAsia="zh-CN"/>
        </w:rPr>
        <w:t>检测时，乙方能够满足甲方</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需要提供相应服务</w:t>
      </w:r>
      <w:r>
        <w:rPr>
          <w:rFonts w:hint="eastAsia" w:cs="宋体"/>
          <w:color w:val="auto"/>
          <w:sz w:val="24"/>
          <w:szCs w:val="24"/>
          <w:highlight w:val="none"/>
          <w:lang w:val="en-US" w:eastAsia="zh-CN"/>
        </w:rPr>
        <w:t>,且甲方和甲方的教职工不另行支付该费用</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12.当</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超声骨密度</w:t>
      </w:r>
      <w:r>
        <w:rPr>
          <w:rFonts w:hint="eastAsia" w:ascii="宋体" w:hAnsi="宋体" w:eastAsia="宋体" w:cs="宋体"/>
          <w:color w:val="auto"/>
          <w:sz w:val="24"/>
          <w:szCs w:val="24"/>
          <w:highlight w:val="none"/>
          <w:lang w:eastAsia="zh-CN"/>
        </w:rPr>
        <w:t>检测时，能够满足甲方</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需要提供相应服务</w:t>
      </w:r>
      <w:r>
        <w:rPr>
          <w:rFonts w:hint="eastAsia" w:cs="宋体"/>
          <w:color w:val="auto"/>
          <w:sz w:val="24"/>
          <w:szCs w:val="24"/>
          <w:highlight w:val="none"/>
          <w:lang w:val="en-US" w:eastAsia="zh-CN"/>
        </w:rPr>
        <w:t>,且甲方和甲方的教职工不另行支付该费用</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13.当</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的教职工</w:t>
      </w:r>
      <w:r>
        <w:rPr>
          <w:rFonts w:hint="eastAsia" w:ascii="宋体" w:hAnsi="宋体" w:eastAsia="宋体" w:cs="宋体"/>
          <w:color w:val="auto"/>
          <w:sz w:val="24"/>
          <w:szCs w:val="24"/>
          <w:highlight w:val="none"/>
          <w:lang w:val="en-US" w:eastAsia="zh-CN"/>
        </w:rPr>
        <w:t>需要做</w:t>
      </w:r>
      <w:r>
        <w:rPr>
          <w:rFonts w:hint="eastAsia" w:ascii="宋体" w:hAnsi="宋体" w:eastAsia="宋体" w:cs="宋体"/>
          <w:color w:val="auto"/>
          <w:sz w:val="24"/>
          <w:szCs w:val="24"/>
          <w:highlight w:val="none"/>
        </w:rPr>
        <w:t>经颅多普勒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TCD</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检测</w:t>
      </w:r>
      <w:r>
        <w:rPr>
          <w:rFonts w:hint="eastAsia" w:ascii="宋体" w:hAnsi="宋体" w:eastAsia="宋体" w:cs="宋体"/>
          <w:color w:val="auto"/>
          <w:sz w:val="24"/>
          <w:szCs w:val="24"/>
          <w:highlight w:val="none"/>
          <w:lang w:eastAsia="zh-CN"/>
        </w:rPr>
        <w:t>时，乙方能够满足甲方</w:t>
      </w:r>
      <w:r>
        <w:rPr>
          <w:rFonts w:hint="eastAsia" w:ascii="宋体" w:hAnsi="宋体" w:eastAsia="宋体" w:cs="宋体"/>
          <w:color w:val="auto"/>
          <w:sz w:val="24"/>
          <w:szCs w:val="24"/>
          <w:highlight w:val="none"/>
        </w:rPr>
        <w:t>教职工</w:t>
      </w:r>
      <w:r>
        <w:rPr>
          <w:rFonts w:hint="eastAsia" w:ascii="宋体" w:hAnsi="宋体" w:eastAsia="宋体" w:cs="宋体"/>
          <w:color w:val="auto"/>
          <w:sz w:val="24"/>
          <w:szCs w:val="24"/>
          <w:highlight w:val="none"/>
          <w:lang w:val="en-US" w:eastAsia="zh-CN"/>
        </w:rPr>
        <w:t>需要提供相应服务</w:t>
      </w:r>
      <w:r>
        <w:rPr>
          <w:rFonts w:hint="eastAsia" w:cs="宋体"/>
          <w:color w:val="auto"/>
          <w:sz w:val="24"/>
          <w:szCs w:val="24"/>
          <w:highlight w:val="none"/>
          <w:lang w:val="en-US" w:eastAsia="zh-CN"/>
        </w:rPr>
        <w:t>,且甲方和甲方的教职工不另行支付该费用</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eastAsia="zh-CN"/>
        </w:rPr>
        <w:t>乙方能够为</w:t>
      </w:r>
      <w:r>
        <w:rPr>
          <w:rFonts w:hint="eastAsia" w:ascii="宋体" w:hAnsi="宋体" w:eastAsia="宋体" w:cs="宋体"/>
          <w:color w:val="auto"/>
          <w:sz w:val="24"/>
          <w:szCs w:val="24"/>
          <w:highlight w:val="none"/>
        </w:rPr>
        <w:t>每名教职工提供体质检测服务，根据体质类型制定养生调理和治疗方案</w:t>
      </w:r>
      <w:r>
        <w:rPr>
          <w:rFonts w:hint="eastAsia" w:cs="宋体"/>
          <w:color w:val="auto"/>
          <w:sz w:val="24"/>
          <w:szCs w:val="24"/>
          <w:highlight w:val="none"/>
          <w:lang w:val="en-US" w:eastAsia="zh-CN"/>
        </w:rPr>
        <w:t>,且甲方和甲方的教职工不另行支付该费用</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r>
        <w:rPr>
          <w:rFonts w:hint="eastAsia"/>
          <w:b/>
          <w:bCs/>
          <w:color w:val="auto"/>
          <w:highlight w:val="none"/>
          <w:lang w:val="en-US" w:eastAsia="zh-CN"/>
        </w:rPr>
        <w:t>★</w:t>
      </w:r>
      <w:r>
        <w:rPr>
          <w:rFonts w:hint="eastAsia" w:ascii="宋体" w:hAnsi="宋体" w:eastAsia="宋体" w:cs="宋体"/>
          <w:color w:val="auto"/>
          <w:sz w:val="24"/>
          <w:szCs w:val="24"/>
          <w:highlight w:val="none"/>
          <w:lang w:val="en-US" w:eastAsia="zh-CN"/>
        </w:rPr>
        <w:t>乙方在</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向甲方提供截至该时间尚未参加的体检人次和对应体检项目，甲方在合同期限内，根据剩余体检人次及其对应的体检项目安排教职工参与体检，乙方需按本合同要求提供同等体检服务，并且保证体检服务质量。</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b/>
          <w:bCs/>
          <w:color w:val="auto"/>
          <w:highlight w:val="none"/>
          <w:lang w:val="en-US" w:eastAsia="zh-CN"/>
        </w:rPr>
        <w:t>★</w:t>
      </w:r>
      <w:r>
        <w:rPr>
          <w:rFonts w:hint="eastAsia" w:ascii="宋体" w:hAnsi="宋体" w:eastAsia="宋体" w:cs="宋体"/>
          <w:b/>
          <w:bCs/>
          <w:color w:val="auto"/>
          <w:sz w:val="24"/>
          <w:szCs w:val="24"/>
          <w:highlight w:val="none"/>
        </w:rPr>
        <w:t>履约时间</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自</w:t>
      </w:r>
      <w:r>
        <w:rPr>
          <w:rFonts w:hint="eastAsia" w:ascii="宋体" w:hAnsi="宋体" w:eastAsia="宋体" w:cs="宋体"/>
          <w:color w:val="auto"/>
          <w:sz w:val="24"/>
          <w:szCs w:val="24"/>
          <w:highlight w:val="none"/>
        </w:rPr>
        <w:t>合同签订之日起</w:t>
      </w:r>
      <w:r>
        <w:rPr>
          <w:rFonts w:hint="eastAsia" w:ascii="宋体" w:hAnsi="宋体" w:eastAsia="宋体" w:cs="宋体"/>
          <w:color w:val="auto"/>
          <w:sz w:val="24"/>
          <w:szCs w:val="24"/>
          <w:highlight w:val="none"/>
          <w:lang w:val="en-US" w:eastAsia="zh-CN"/>
        </w:rPr>
        <w:t>三年(XXXX年XX月XX日至XXXX年XX月XX日)。</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r>
        <w:rPr>
          <w:rFonts w:hint="eastAsia"/>
          <w:b/>
          <w:bCs/>
          <w:color w:val="auto"/>
          <w:highlight w:val="none"/>
          <w:lang w:val="en-US" w:eastAsia="zh-CN"/>
        </w:rPr>
        <w:t>★</w:t>
      </w:r>
      <w:r>
        <w:rPr>
          <w:rFonts w:hint="eastAsia" w:ascii="宋体" w:hAnsi="宋体" w:eastAsia="宋体" w:cs="宋体"/>
          <w:b/>
          <w:bCs/>
          <w:color w:val="auto"/>
          <w:sz w:val="24"/>
          <w:szCs w:val="24"/>
          <w:highlight w:val="none"/>
        </w:rPr>
        <w:t>履约地点</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讲解、培训、报告配送地址：郫都区红光</w:t>
      </w:r>
      <w:r>
        <w:rPr>
          <w:rFonts w:hint="eastAsia" w:ascii="宋体" w:hAnsi="宋体" w:eastAsia="宋体" w:cs="宋体"/>
          <w:color w:val="auto"/>
          <w:sz w:val="24"/>
          <w:szCs w:val="24"/>
          <w:highlight w:val="none"/>
          <w:lang w:val="en-US" w:eastAsia="zh-CN"/>
        </w:rPr>
        <w:t>街道</w:t>
      </w:r>
      <w:r>
        <w:rPr>
          <w:rFonts w:hint="eastAsia" w:ascii="宋体" w:hAnsi="宋体" w:eastAsia="宋体" w:cs="宋体"/>
          <w:color w:val="auto"/>
          <w:sz w:val="24"/>
          <w:szCs w:val="24"/>
          <w:highlight w:val="none"/>
        </w:rPr>
        <w:t>港通北三路1899号；</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体检地址：乙方体检场所                   </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五、合同价</w:t>
      </w:r>
      <w:r>
        <w:rPr>
          <w:rFonts w:hint="eastAsia" w:ascii="宋体" w:hAnsi="宋体" w:eastAsia="宋体" w:cs="宋体"/>
          <w:b/>
          <w:bCs/>
          <w:color w:val="auto"/>
          <w:sz w:val="24"/>
          <w:szCs w:val="24"/>
          <w:highlight w:val="none"/>
          <w:lang w:val="en-US" w:eastAsia="zh-CN"/>
        </w:rPr>
        <w:t>款</w:t>
      </w:r>
      <w:r>
        <w:rPr>
          <w:rFonts w:hint="eastAsia" w:ascii="宋体" w:hAnsi="宋体" w:eastAsia="宋体" w:cs="宋体"/>
          <w:b/>
          <w:bCs/>
          <w:color w:val="auto"/>
          <w:sz w:val="24"/>
          <w:szCs w:val="24"/>
          <w:highlight w:val="none"/>
        </w:rPr>
        <w:t>、付款安排、支付方式</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lang w:eastAsia="zh-Hans"/>
        </w:rPr>
        <w:t>合同</w:t>
      </w:r>
      <w:r>
        <w:rPr>
          <w:rFonts w:hint="eastAsia" w:ascii="宋体" w:hAnsi="宋体" w:eastAsia="宋体" w:cs="宋体"/>
          <w:color w:val="auto"/>
          <w:sz w:val="24"/>
          <w:szCs w:val="24"/>
          <w:highlight w:val="none"/>
          <w:lang w:val="en-US" w:eastAsia="zh-CN"/>
        </w:rPr>
        <w:t>为固定综合单价合同：</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40岁以下男</w:t>
      </w:r>
      <w:r>
        <w:rPr>
          <w:rFonts w:hint="eastAsia" w:ascii="宋体" w:hAnsi="宋体" w:eastAsia="宋体" w:cs="宋体"/>
          <w:color w:val="auto"/>
          <w:sz w:val="24"/>
          <w:szCs w:val="24"/>
          <w:highlight w:val="none"/>
          <w:lang w:eastAsia="zh-CN"/>
        </w:rPr>
        <w:t>教职工</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xx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，40岁以下女</w:t>
      </w:r>
      <w:r>
        <w:rPr>
          <w:rFonts w:hint="eastAsia" w:ascii="宋体" w:hAnsi="宋体" w:eastAsia="宋体" w:cs="宋体"/>
          <w:color w:val="auto"/>
          <w:sz w:val="24"/>
          <w:szCs w:val="24"/>
          <w:highlight w:val="none"/>
          <w:lang w:eastAsia="zh-CN"/>
        </w:rPr>
        <w:t>教职工</w:t>
      </w:r>
      <w:r>
        <w:rPr>
          <w:rFonts w:hint="eastAsia" w:ascii="宋体" w:hAnsi="宋体" w:eastAsia="宋体" w:cs="宋体"/>
          <w:color w:val="auto"/>
          <w:sz w:val="24"/>
          <w:szCs w:val="24"/>
          <w:highlight w:val="none"/>
        </w:rPr>
        <w:t xml:space="preserve">：已婚 </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，40岁以下未婚</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40岁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以上男</w:t>
      </w:r>
      <w:r>
        <w:rPr>
          <w:rFonts w:hint="eastAsia" w:ascii="宋体" w:hAnsi="宋体" w:eastAsia="宋体" w:cs="宋体"/>
          <w:color w:val="auto"/>
          <w:sz w:val="24"/>
          <w:szCs w:val="24"/>
          <w:highlight w:val="none"/>
          <w:lang w:eastAsia="zh-CN"/>
        </w:rPr>
        <w:t>教职工</w:t>
      </w:r>
      <w:r>
        <w:rPr>
          <w:rFonts w:hint="eastAsia" w:ascii="宋体" w:hAnsi="宋体" w:eastAsia="宋体" w:cs="宋体"/>
          <w:color w:val="auto"/>
          <w:sz w:val="24"/>
          <w:szCs w:val="24"/>
          <w:highlight w:val="none"/>
        </w:rPr>
        <w:t>：  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，40岁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以上女</w:t>
      </w:r>
      <w:r>
        <w:rPr>
          <w:rFonts w:hint="eastAsia" w:ascii="宋体" w:hAnsi="宋体" w:eastAsia="宋体" w:cs="宋体"/>
          <w:color w:val="auto"/>
          <w:sz w:val="24"/>
          <w:szCs w:val="24"/>
          <w:highlight w:val="none"/>
          <w:lang w:eastAsia="zh-CN"/>
        </w:rPr>
        <w:t>教职工</w:t>
      </w:r>
      <w:r>
        <w:rPr>
          <w:rFonts w:hint="eastAsia" w:ascii="宋体" w:hAnsi="宋体" w:eastAsia="宋体" w:cs="宋体"/>
          <w:color w:val="auto"/>
          <w:sz w:val="24"/>
          <w:szCs w:val="24"/>
          <w:highlight w:val="none"/>
        </w:rPr>
        <w:t>：已婚</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，40岁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含40岁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以上未婚</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 xml:space="preserve"> 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退休职工男：</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，退休职工女：</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val="en-US" w:eastAsia="zh-CN"/>
        </w:rPr>
        <w:t>/人次，共计XX人次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2.</w:t>
      </w:r>
      <w:r>
        <w:rPr>
          <w:rFonts w:hint="eastAsia"/>
          <w:b/>
          <w:bCs/>
          <w:color w:val="auto"/>
          <w:highlight w:val="none"/>
          <w:lang w:val="en-US" w:eastAsia="zh-CN"/>
        </w:rPr>
        <w:t>★</w:t>
      </w:r>
      <w:r>
        <w:rPr>
          <w:rFonts w:hint="eastAsia" w:ascii="宋体" w:hAnsi="宋体" w:eastAsia="宋体" w:cs="宋体"/>
          <w:snapToGrid/>
          <w:color w:val="auto"/>
          <w:sz w:val="24"/>
          <w:szCs w:val="24"/>
          <w:highlight w:val="none"/>
          <w:lang w:val="en-US" w:eastAsia="zh-CN"/>
        </w:rPr>
        <w:t>合同单价</w:t>
      </w:r>
      <w:r>
        <w:rPr>
          <w:rFonts w:hint="eastAsia" w:ascii="宋体" w:hAnsi="宋体" w:eastAsia="宋体" w:cs="宋体"/>
          <w:snapToGrid/>
          <w:color w:val="auto"/>
          <w:sz w:val="24"/>
          <w:szCs w:val="24"/>
          <w:highlight w:val="none"/>
        </w:rPr>
        <w:t>是</w:t>
      </w:r>
      <w:r>
        <w:rPr>
          <w:rFonts w:hint="eastAsia" w:ascii="宋体" w:hAnsi="宋体" w:eastAsia="宋体" w:cs="宋体"/>
          <w:snapToGrid/>
          <w:color w:val="auto"/>
          <w:sz w:val="24"/>
          <w:szCs w:val="24"/>
          <w:highlight w:val="none"/>
          <w:lang w:val="en-US" w:eastAsia="zh-CN"/>
        </w:rPr>
        <w:t>完成单人</w:t>
      </w:r>
      <w:r>
        <w:rPr>
          <w:rFonts w:hint="eastAsia" w:ascii="宋体" w:hAnsi="宋体" w:eastAsia="宋体" w:cs="宋体"/>
          <w:snapToGrid/>
          <w:color w:val="auto"/>
          <w:sz w:val="24"/>
          <w:szCs w:val="24"/>
          <w:highlight w:val="none"/>
        </w:rPr>
        <w:t>体检工作内容的全部体现，包含</w:t>
      </w:r>
      <w:r>
        <w:rPr>
          <w:rFonts w:hint="eastAsia" w:ascii="宋体" w:hAnsi="宋体" w:eastAsia="宋体" w:cs="宋体"/>
          <w:snapToGrid/>
          <w:color w:val="auto"/>
          <w:sz w:val="24"/>
          <w:szCs w:val="24"/>
          <w:highlight w:val="none"/>
          <w:lang w:val="en-US"/>
        </w:rPr>
        <w:t>人员、体检、设备、耗材、早餐、税费、招标代理服务费、</w:t>
      </w:r>
      <w:r>
        <w:rPr>
          <w:rFonts w:hint="eastAsia" w:ascii="宋体" w:hAnsi="宋体" w:eastAsia="宋体" w:cs="宋体"/>
          <w:snapToGrid/>
          <w:color w:val="auto"/>
          <w:sz w:val="24"/>
          <w:szCs w:val="24"/>
          <w:highlight w:val="none"/>
        </w:rPr>
        <w:t>利润</w:t>
      </w:r>
      <w:r>
        <w:rPr>
          <w:rFonts w:hint="eastAsia" w:ascii="宋体" w:hAnsi="宋体" w:eastAsia="宋体" w:cs="宋体"/>
          <w:snapToGrid/>
          <w:color w:val="auto"/>
          <w:sz w:val="24"/>
          <w:szCs w:val="24"/>
          <w:highlight w:val="none"/>
          <w:lang w:eastAsia="zh-CN"/>
        </w:rPr>
        <w:t>、</w:t>
      </w:r>
      <w:r>
        <w:rPr>
          <w:rFonts w:hint="eastAsia" w:ascii="宋体" w:hAnsi="宋体" w:eastAsia="宋体" w:cs="宋体"/>
          <w:snapToGrid/>
          <w:color w:val="auto"/>
          <w:sz w:val="24"/>
          <w:szCs w:val="24"/>
          <w:highlight w:val="none"/>
          <w:lang w:val="en-US" w:eastAsia="zh-CN"/>
        </w:rPr>
        <w:t>讲座</w:t>
      </w:r>
      <w:r>
        <w:rPr>
          <w:rFonts w:hint="eastAsia" w:cs="宋体"/>
          <w:snapToGrid/>
          <w:color w:val="auto"/>
          <w:sz w:val="24"/>
          <w:szCs w:val="24"/>
          <w:highlight w:val="none"/>
          <w:lang w:val="en-US" w:eastAsia="zh-CN"/>
        </w:rPr>
        <w:t>、响应内容</w:t>
      </w:r>
      <w:r>
        <w:rPr>
          <w:rFonts w:hint="eastAsia" w:ascii="宋体" w:hAnsi="宋体" w:eastAsia="宋体" w:cs="宋体"/>
          <w:snapToGrid/>
          <w:color w:val="auto"/>
          <w:sz w:val="24"/>
          <w:szCs w:val="24"/>
          <w:highlight w:val="none"/>
        </w:rPr>
        <w:t>等所需的一切费用</w:t>
      </w:r>
      <w:r>
        <w:rPr>
          <w:rFonts w:hint="eastAsia" w:ascii="宋体" w:hAnsi="宋体" w:eastAsia="宋体" w:cs="宋体"/>
          <w:snapToGrid/>
          <w:color w:val="auto"/>
          <w:sz w:val="24"/>
          <w:szCs w:val="24"/>
          <w:highlight w:val="none"/>
          <w:lang w:eastAsia="zh-CN"/>
        </w:rPr>
        <w:t>。</w:t>
      </w:r>
    </w:p>
    <w:p>
      <w:pPr>
        <w:pStyle w:val="11"/>
        <w:keepNext w:val="0"/>
        <w:keepLines w:val="0"/>
        <w:pageBreakBefore w:val="0"/>
        <w:widowControl w:val="0"/>
        <w:kinsoku/>
        <w:overflowPunct/>
        <w:autoSpaceDN/>
        <w:bidi w:val="0"/>
        <w:adjustRightInd w:val="0"/>
        <w:snapToGrid w:val="0"/>
        <w:spacing w:after="0" w:afterLines="0"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b/>
          <w:bCs/>
          <w:color w:val="auto"/>
          <w:highlight w:val="none"/>
          <w:lang w:val="en-US" w:eastAsia="zh-CN"/>
        </w:rPr>
        <w:t>★</w:t>
      </w:r>
      <w:r>
        <w:rPr>
          <w:rFonts w:hint="eastAsia" w:ascii="宋体" w:hAnsi="宋体" w:eastAsia="宋体" w:cs="宋体"/>
          <w:color w:val="auto"/>
          <w:sz w:val="24"/>
          <w:szCs w:val="24"/>
          <w:highlight w:val="none"/>
        </w:rPr>
        <w:t>付款安排</w:t>
      </w:r>
      <w:r>
        <w:rPr>
          <w:rFonts w:hint="eastAsia" w:ascii="宋体" w:hAnsi="宋体" w:eastAsia="宋体" w:cs="宋体"/>
          <w:color w:val="auto"/>
          <w:sz w:val="24"/>
          <w:szCs w:val="24"/>
          <w:highlight w:val="none"/>
          <w:lang w:eastAsia="zh-CN"/>
        </w:rPr>
        <w:t>：合同服务费</w:t>
      </w:r>
      <w:r>
        <w:rPr>
          <w:rFonts w:hint="eastAsia" w:ascii="宋体" w:hAnsi="宋体" w:eastAsia="宋体" w:cs="宋体"/>
          <w:color w:val="auto"/>
          <w:sz w:val="24"/>
          <w:szCs w:val="24"/>
          <w:highlight w:val="none"/>
          <w:lang w:val="en-US" w:eastAsia="zh-CN"/>
        </w:rPr>
        <w:t>暂计</w:t>
      </w:r>
      <w:r>
        <w:rPr>
          <w:rFonts w:hint="eastAsia" w:ascii="宋体" w:hAnsi="宋体" w:eastAsia="宋体" w:cs="宋体"/>
          <w:color w:val="auto"/>
          <w:sz w:val="24"/>
          <w:szCs w:val="24"/>
          <w:highlight w:val="none"/>
          <w:lang w:eastAsia="zh-CN"/>
        </w:rPr>
        <w:t>总额共计</w:t>
      </w:r>
      <w:r>
        <w:rPr>
          <w:rFonts w:hint="eastAsia" w:ascii="宋体" w:hAnsi="宋体" w:eastAsia="宋体" w:cs="宋体"/>
          <w:color w:val="auto"/>
          <w:sz w:val="24"/>
          <w:szCs w:val="24"/>
          <w:highlight w:val="none"/>
          <w:lang w:val="en-US" w:eastAsia="zh-CN"/>
        </w:rPr>
        <w:t>1600000元(大写：人民币壹佰陆拾万元整)，最终费用以合同服务期结束时实际金额为准，甲方</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阶段</w:t>
      </w:r>
      <w:r>
        <w:rPr>
          <w:rFonts w:hint="eastAsia" w:ascii="宋体" w:hAnsi="宋体" w:eastAsia="宋体" w:cs="宋体"/>
          <w:color w:val="auto"/>
          <w:sz w:val="24"/>
          <w:szCs w:val="24"/>
          <w:highlight w:val="none"/>
          <w:lang w:val="en-US" w:eastAsia="zh-CN"/>
        </w:rPr>
        <w:t>结算</w:t>
      </w:r>
      <w:r>
        <w:rPr>
          <w:rFonts w:hint="eastAsia" w:ascii="宋体" w:hAnsi="宋体" w:eastAsia="宋体" w:cs="宋体"/>
          <w:color w:val="auto"/>
          <w:sz w:val="24"/>
          <w:szCs w:val="24"/>
          <w:highlight w:val="none"/>
          <w:lang w:eastAsia="zh-CN"/>
        </w:rPr>
        <w:t>：</w:t>
      </w:r>
    </w:p>
    <w:p>
      <w:pPr>
        <w:pStyle w:val="11"/>
        <w:keepNext w:val="0"/>
        <w:keepLines w:val="0"/>
        <w:pageBreakBefore w:val="0"/>
        <w:widowControl w:val="0"/>
        <w:kinsoku/>
        <w:overflowPunct/>
        <w:autoSpaceDN/>
        <w:bidi w:val="0"/>
        <w:adjustRightInd w:val="0"/>
        <w:snapToGrid w:val="0"/>
        <w:spacing w:after="0" w:afterLines="0" w:line="440" w:lineRule="exact"/>
        <w:ind w:firstLine="480" w:firstLineChars="200"/>
        <w:textAlignment w:val="auto"/>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snapToGrid/>
          <w:color w:val="auto"/>
          <w:sz w:val="24"/>
          <w:szCs w:val="24"/>
          <w:highlight w:val="none"/>
          <w:lang w:val="en-US"/>
        </w:rPr>
        <w:t>第一阶段：</w:t>
      </w:r>
      <w:r>
        <w:rPr>
          <w:rFonts w:hint="eastAsia" w:ascii="宋体" w:hAnsi="宋体" w:eastAsia="宋体" w:cs="宋体"/>
          <w:snapToGrid/>
          <w:color w:val="auto"/>
          <w:sz w:val="24"/>
          <w:szCs w:val="24"/>
          <w:highlight w:val="none"/>
          <w:lang w:val="en-US" w:eastAsia="zh-CN"/>
        </w:rPr>
        <w:t>甲方</w:t>
      </w:r>
      <w:r>
        <w:rPr>
          <w:rFonts w:hint="eastAsia" w:ascii="宋体" w:hAnsi="宋体" w:eastAsia="宋体" w:cs="宋体"/>
          <w:snapToGrid/>
          <w:color w:val="auto"/>
          <w:kern w:val="2"/>
          <w:sz w:val="24"/>
          <w:szCs w:val="24"/>
          <w:highlight w:val="none"/>
        </w:rPr>
        <w:t>收到</w:t>
      </w:r>
      <w:r>
        <w:rPr>
          <w:rFonts w:hint="eastAsia" w:ascii="宋体" w:hAnsi="宋体" w:eastAsia="宋体" w:cs="宋体"/>
          <w:snapToGrid/>
          <w:color w:val="auto"/>
          <w:kern w:val="2"/>
          <w:sz w:val="24"/>
          <w:szCs w:val="24"/>
          <w:highlight w:val="none"/>
          <w:lang w:val="en-US" w:eastAsia="zh-CN"/>
        </w:rPr>
        <w:t>乙方</w:t>
      </w:r>
      <w:r>
        <w:rPr>
          <w:rFonts w:hint="eastAsia" w:ascii="宋体" w:hAnsi="宋体" w:eastAsia="宋体" w:cs="宋体"/>
          <w:snapToGrid/>
          <w:color w:val="auto"/>
          <w:kern w:val="2"/>
          <w:sz w:val="24"/>
          <w:szCs w:val="24"/>
          <w:highlight w:val="none"/>
        </w:rPr>
        <w:t>提供的符合</w:t>
      </w:r>
      <w:r>
        <w:rPr>
          <w:rFonts w:hint="eastAsia" w:ascii="宋体" w:hAnsi="宋体" w:eastAsia="宋体" w:cs="宋体"/>
          <w:snapToGrid/>
          <w:color w:val="auto"/>
          <w:sz w:val="24"/>
          <w:szCs w:val="24"/>
          <w:highlight w:val="none"/>
          <w:lang w:val="en-US" w:eastAsia="zh-CN"/>
        </w:rPr>
        <w:t>甲方人</w:t>
      </w:r>
      <w:r>
        <w:rPr>
          <w:rFonts w:hint="eastAsia" w:ascii="宋体" w:hAnsi="宋体" w:eastAsia="宋体" w:cs="宋体"/>
          <w:snapToGrid/>
          <w:color w:val="auto"/>
          <w:kern w:val="2"/>
          <w:sz w:val="24"/>
          <w:szCs w:val="24"/>
          <w:highlight w:val="none"/>
        </w:rPr>
        <w:t>财务要求且合法有效完整的等额完税发票之日起</w:t>
      </w:r>
      <w:r>
        <w:rPr>
          <w:rFonts w:hint="eastAsia" w:ascii="宋体" w:hAnsi="宋体" w:eastAsia="宋体" w:cs="宋体"/>
          <w:snapToGrid/>
          <w:color w:val="auto"/>
          <w:kern w:val="2"/>
          <w:sz w:val="24"/>
          <w:szCs w:val="24"/>
          <w:highlight w:val="none"/>
          <w:lang w:val="en-US" w:eastAsia="zh-CN"/>
        </w:rPr>
        <w:t>15</w:t>
      </w:r>
      <w:r>
        <w:rPr>
          <w:rFonts w:hint="eastAsia" w:ascii="宋体" w:hAnsi="宋体" w:eastAsia="宋体" w:cs="宋体"/>
          <w:snapToGrid/>
          <w:color w:val="auto"/>
          <w:kern w:val="2"/>
          <w:sz w:val="24"/>
          <w:szCs w:val="24"/>
          <w:highlight w:val="none"/>
        </w:rPr>
        <w:t>个日历天内，</w:t>
      </w:r>
      <w:r>
        <w:rPr>
          <w:rFonts w:hint="eastAsia" w:ascii="宋体" w:hAnsi="宋体" w:eastAsia="宋体" w:cs="宋体"/>
          <w:snapToGrid/>
          <w:color w:val="auto"/>
          <w:sz w:val="24"/>
          <w:szCs w:val="24"/>
          <w:highlight w:val="none"/>
          <w:lang w:val="en-US" w:eastAsia="zh-CN"/>
        </w:rPr>
        <w:t>甲方向乙方预付</w:t>
      </w:r>
      <w:r>
        <w:rPr>
          <w:rFonts w:hint="eastAsia" w:ascii="宋体" w:hAnsi="宋体" w:eastAsia="宋体" w:cs="宋体"/>
          <w:snapToGrid/>
          <w:color w:val="auto"/>
          <w:kern w:val="2"/>
          <w:sz w:val="24"/>
          <w:szCs w:val="24"/>
          <w:highlight w:val="none"/>
        </w:rPr>
        <w:t>合同</w:t>
      </w:r>
      <w:r>
        <w:rPr>
          <w:rFonts w:hint="eastAsia" w:ascii="宋体" w:hAnsi="宋体" w:eastAsia="宋体" w:cs="宋体"/>
          <w:snapToGrid/>
          <w:color w:val="auto"/>
          <w:kern w:val="2"/>
          <w:sz w:val="24"/>
          <w:szCs w:val="24"/>
          <w:highlight w:val="none"/>
          <w:lang w:val="en-US" w:eastAsia="zh-CN"/>
        </w:rPr>
        <w:t>暂计</w:t>
      </w:r>
      <w:r>
        <w:rPr>
          <w:rFonts w:hint="eastAsia" w:ascii="宋体" w:hAnsi="宋体" w:eastAsia="宋体" w:cs="宋体"/>
          <w:snapToGrid/>
          <w:color w:val="auto"/>
          <w:kern w:val="2"/>
          <w:sz w:val="24"/>
          <w:szCs w:val="24"/>
          <w:highlight w:val="none"/>
        </w:rPr>
        <w:t>总金额</w:t>
      </w:r>
      <w:r>
        <w:rPr>
          <w:rFonts w:hint="eastAsia" w:ascii="宋体" w:hAnsi="宋体" w:eastAsia="宋体" w:cs="宋体"/>
          <w:color w:val="auto"/>
          <w:kern w:val="2"/>
          <w:sz w:val="24"/>
          <w:szCs w:val="24"/>
          <w:highlight w:val="none"/>
        </w:rPr>
        <w:t>的百分之</w:t>
      </w:r>
      <w:r>
        <w:rPr>
          <w:rFonts w:hint="eastAsia" w:ascii="宋体" w:hAnsi="宋体" w:eastAsia="宋体" w:cs="宋体"/>
          <w:color w:val="auto"/>
          <w:kern w:val="2"/>
          <w:sz w:val="24"/>
          <w:szCs w:val="24"/>
          <w:highlight w:val="none"/>
          <w:lang w:val="en-US" w:eastAsia="zh-CN"/>
        </w:rPr>
        <w:t>五十</w:t>
      </w:r>
      <w:r>
        <w:rPr>
          <w:rFonts w:hint="eastAsia" w:ascii="宋体" w:hAnsi="宋体" w:eastAsia="宋体" w:cs="宋体"/>
          <w:color w:val="auto"/>
          <w:kern w:val="2"/>
          <w:sz w:val="24"/>
          <w:szCs w:val="24"/>
          <w:highlight w:val="none"/>
        </w:rPr>
        <w:t>的合同款</w:t>
      </w:r>
      <w:r>
        <w:rPr>
          <w:rFonts w:hint="eastAsia" w:ascii="宋体" w:hAnsi="宋体" w:eastAsia="宋体" w:cs="宋体"/>
          <w:color w:val="auto"/>
          <w:kern w:val="2"/>
          <w:sz w:val="24"/>
          <w:szCs w:val="24"/>
          <w:highlight w:val="none"/>
          <w:lang w:eastAsia="zh-CN"/>
        </w:rPr>
        <w:t>，即</w:t>
      </w:r>
      <w:r>
        <w:rPr>
          <w:rFonts w:hint="eastAsia" w:ascii="宋体" w:hAnsi="宋体" w:eastAsia="宋体" w:cs="宋体"/>
          <w:color w:val="auto"/>
          <w:kern w:val="2"/>
          <w:sz w:val="24"/>
          <w:szCs w:val="24"/>
          <w:highlight w:val="none"/>
          <w:lang w:val="en-US" w:eastAsia="zh-CN"/>
        </w:rPr>
        <w:t>人民币800000元(大写：人民币捌拾万元整)。</w:t>
      </w:r>
    </w:p>
    <w:p>
      <w:pPr>
        <w:pStyle w:val="11"/>
        <w:keepNext w:val="0"/>
        <w:keepLines w:val="0"/>
        <w:pageBreakBefore w:val="0"/>
        <w:widowControl w:val="0"/>
        <w:kinsoku/>
        <w:overflowPunct/>
        <w:autoSpaceDN/>
        <w:bidi w:val="0"/>
        <w:adjustRightInd w:val="0"/>
        <w:snapToGrid w:val="0"/>
        <w:spacing w:after="0" w:afterLines="0" w:line="440" w:lineRule="exact"/>
        <w:ind w:firstLine="480" w:firstLineChars="200"/>
        <w:textAlignment w:val="auto"/>
        <w:outlineLvl w:val="9"/>
        <w:rPr>
          <w:rFonts w:hint="eastAsia" w:ascii="宋体" w:hAnsi="宋体" w:eastAsia="宋体" w:cs="宋体"/>
          <w:snapToGrid/>
          <w:color w:val="auto"/>
          <w:sz w:val="24"/>
          <w:szCs w:val="24"/>
          <w:highlight w:val="none"/>
        </w:rPr>
      </w:pPr>
      <w:r>
        <w:rPr>
          <w:rFonts w:hint="eastAsia" w:ascii="宋体" w:hAnsi="宋体" w:eastAsia="宋体" w:cs="宋体"/>
          <w:snapToGrid/>
          <w:color w:val="auto"/>
          <w:sz w:val="24"/>
          <w:szCs w:val="24"/>
          <w:highlight w:val="none"/>
          <w:lang w:val="en-US"/>
        </w:rPr>
        <w:t>第二阶段：2022年1</w:t>
      </w:r>
      <w:r>
        <w:rPr>
          <w:rFonts w:hint="eastAsia" w:ascii="宋体" w:hAnsi="宋体" w:eastAsia="宋体" w:cs="宋体"/>
          <w:snapToGrid/>
          <w:color w:val="auto"/>
          <w:sz w:val="24"/>
          <w:szCs w:val="24"/>
          <w:highlight w:val="none"/>
          <w:lang w:val="en-US" w:eastAsia="zh-CN"/>
        </w:rPr>
        <w:t>1</w:t>
      </w:r>
      <w:r>
        <w:rPr>
          <w:rFonts w:hint="eastAsia" w:ascii="宋体" w:hAnsi="宋体" w:eastAsia="宋体" w:cs="宋体"/>
          <w:snapToGrid/>
          <w:color w:val="auto"/>
          <w:sz w:val="24"/>
          <w:szCs w:val="24"/>
          <w:highlight w:val="none"/>
          <w:lang w:val="en-US"/>
        </w:rPr>
        <w:t>月1日</w:t>
      </w:r>
      <w:r>
        <w:rPr>
          <w:rFonts w:hint="eastAsia" w:ascii="宋体" w:hAnsi="宋体" w:eastAsia="宋体" w:cs="宋体"/>
          <w:snapToGrid/>
          <w:color w:val="auto"/>
          <w:sz w:val="24"/>
          <w:szCs w:val="24"/>
          <w:highlight w:val="none"/>
          <w:lang w:val="en-US" w:eastAsia="zh-CN"/>
        </w:rPr>
        <w:t>，</w:t>
      </w:r>
      <w:r>
        <w:rPr>
          <w:rFonts w:hint="eastAsia" w:ascii="宋体" w:hAnsi="宋体" w:eastAsia="宋体" w:cs="宋体"/>
          <w:snapToGrid/>
          <w:color w:val="auto"/>
          <w:sz w:val="24"/>
          <w:szCs w:val="24"/>
          <w:highlight w:val="none"/>
          <w:lang w:val="en-US"/>
        </w:rPr>
        <w:t>乙方就已经提供的体检服务</w:t>
      </w:r>
      <w:r>
        <w:rPr>
          <w:rFonts w:hint="eastAsia" w:ascii="宋体" w:hAnsi="宋体" w:eastAsia="宋体" w:cs="宋体"/>
          <w:snapToGrid/>
          <w:color w:val="auto"/>
          <w:sz w:val="24"/>
          <w:szCs w:val="24"/>
          <w:highlight w:val="none"/>
          <w:lang w:val="en-US" w:eastAsia="zh-CN"/>
        </w:rPr>
        <w:t>、剩余人次和对应套餐</w:t>
      </w:r>
      <w:r>
        <w:rPr>
          <w:rFonts w:hint="eastAsia" w:ascii="宋体" w:hAnsi="宋体" w:eastAsia="宋体" w:cs="宋体"/>
          <w:snapToGrid/>
          <w:color w:val="auto"/>
          <w:sz w:val="24"/>
          <w:szCs w:val="24"/>
          <w:highlight w:val="none"/>
          <w:lang w:val="en-US"/>
        </w:rPr>
        <w:t>向甲方提交服务清单，</w:t>
      </w:r>
      <w:r>
        <w:rPr>
          <w:rFonts w:hint="eastAsia" w:ascii="宋体" w:hAnsi="宋体" w:eastAsia="宋体" w:cs="宋体"/>
          <w:snapToGrid/>
          <w:color w:val="auto"/>
          <w:sz w:val="24"/>
          <w:szCs w:val="24"/>
          <w:highlight w:val="none"/>
          <w:lang w:val="en-US" w:eastAsia="zh-CN"/>
        </w:rPr>
        <w:t>经甲方对体检人数进行核实并对乙方提供的相关服务验收合格后</w:t>
      </w:r>
      <w:r>
        <w:rPr>
          <w:rFonts w:hint="eastAsia" w:ascii="宋体" w:hAnsi="宋体" w:eastAsia="宋体" w:cs="宋体"/>
          <w:snapToGrid/>
          <w:color w:val="auto"/>
          <w:sz w:val="24"/>
          <w:szCs w:val="24"/>
          <w:highlight w:val="none"/>
          <w:lang w:val="en-US"/>
        </w:rPr>
        <w:t>，自</w:t>
      </w:r>
      <w:r>
        <w:rPr>
          <w:rFonts w:hint="eastAsia" w:ascii="宋体" w:hAnsi="宋体" w:eastAsia="宋体" w:cs="宋体"/>
          <w:snapToGrid/>
          <w:color w:val="auto"/>
          <w:sz w:val="24"/>
          <w:szCs w:val="24"/>
          <w:highlight w:val="none"/>
          <w:lang w:val="en-US" w:eastAsia="zh-CN"/>
        </w:rPr>
        <w:t>甲方</w:t>
      </w:r>
      <w:r>
        <w:rPr>
          <w:rFonts w:hint="eastAsia" w:ascii="宋体" w:hAnsi="宋体" w:eastAsia="宋体" w:cs="宋体"/>
          <w:snapToGrid/>
          <w:color w:val="auto"/>
          <w:sz w:val="24"/>
          <w:szCs w:val="24"/>
          <w:highlight w:val="none"/>
          <w:lang w:val="en-US"/>
        </w:rPr>
        <w:t>收到</w:t>
      </w:r>
      <w:r>
        <w:rPr>
          <w:rFonts w:hint="eastAsia" w:ascii="宋体" w:hAnsi="宋体" w:eastAsia="宋体" w:cs="宋体"/>
          <w:snapToGrid/>
          <w:color w:val="auto"/>
          <w:kern w:val="2"/>
          <w:sz w:val="24"/>
          <w:szCs w:val="24"/>
          <w:highlight w:val="none"/>
          <w:lang w:val="en-US" w:eastAsia="zh-CN"/>
        </w:rPr>
        <w:t>乙方</w:t>
      </w:r>
      <w:r>
        <w:rPr>
          <w:rFonts w:hint="eastAsia" w:ascii="宋体" w:hAnsi="宋体" w:eastAsia="宋体" w:cs="宋体"/>
          <w:snapToGrid/>
          <w:color w:val="auto"/>
          <w:sz w:val="24"/>
          <w:szCs w:val="24"/>
          <w:highlight w:val="none"/>
          <w:lang w:val="en-US"/>
        </w:rPr>
        <w:t>提供的符合</w:t>
      </w:r>
      <w:r>
        <w:rPr>
          <w:rFonts w:hint="eastAsia" w:ascii="宋体" w:hAnsi="宋体" w:eastAsia="宋体" w:cs="宋体"/>
          <w:snapToGrid/>
          <w:color w:val="auto"/>
          <w:sz w:val="24"/>
          <w:szCs w:val="24"/>
          <w:highlight w:val="none"/>
          <w:lang w:val="en-US" w:eastAsia="zh-CN"/>
        </w:rPr>
        <w:t>甲方</w:t>
      </w:r>
      <w:r>
        <w:rPr>
          <w:rFonts w:hint="eastAsia" w:ascii="宋体" w:hAnsi="宋体" w:eastAsia="宋体" w:cs="宋体"/>
          <w:snapToGrid/>
          <w:color w:val="auto"/>
          <w:sz w:val="24"/>
          <w:szCs w:val="24"/>
          <w:highlight w:val="none"/>
          <w:lang w:val="en-US"/>
        </w:rPr>
        <w:t>财务要求且合法有效完整的等额完税发票之日起 15 个日历天内</w:t>
      </w:r>
      <w:r>
        <w:rPr>
          <w:rFonts w:hint="eastAsia" w:ascii="宋体" w:hAnsi="宋体" w:eastAsia="宋体" w:cs="宋体"/>
          <w:snapToGrid/>
          <w:color w:val="auto"/>
          <w:sz w:val="24"/>
          <w:szCs w:val="24"/>
          <w:highlight w:val="none"/>
          <w:lang w:val="en-US" w:eastAsia="zh-CN"/>
        </w:rPr>
        <w:t>预付合同暂计总金额的剩余部分，即人民币800000元(大写：捌拾万元整)，</w:t>
      </w:r>
      <w:r>
        <w:rPr>
          <w:rFonts w:hint="eastAsia" w:ascii="宋体" w:hAnsi="宋体" w:eastAsia="宋体" w:cs="宋体"/>
          <w:snapToGrid/>
          <w:color w:val="auto"/>
          <w:sz w:val="24"/>
          <w:szCs w:val="24"/>
          <w:highlight w:val="none"/>
        </w:rPr>
        <w:t>若</w:t>
      </w:r>
      <w:r>
        <w:rPr>
          <w:rFonts w:hint="eastAsia" w:ascii="宋体" w:hAnsi="宋体" w:eastAsia="宋体" w:cs="宋体"/>
          <w:snapToGrid/>
          <w:color w:val="auto"/>
          <w:sz w:val="24"/>
          <w:szCs w:val="24"/>
          <w:highlight w:val="none"/>
          <w:lang w:eastAsia="zh-CN"/>
        </w:rPr>
        <w:t>甲方</w:t>
      </w:r>
      <w:r>
        <w:rPr>
          <w:rFonts w:hint="eastAsia" w:ascii="宋体" w:hAnsi="宋体" w:eastAsia="宋体" w:cs="宋体"/>
          <w:snapToGrid/>
          <w:color w:val="auto"/>
          <w:sz w:val="24"/>
          <w:szCs w:val="24"/>
          <w:highlight w:val="none"/>
        </w:rPr>
        <w:t>收到</w:t>
      </w:r>
      <w:r>
        <w:rPr>
          <w:rFonts w:hint="eastAsia" w:ascii="宋体" w:hAnsi="宋体" w:eastAsia="宋体" w:cs="宋体"/>
          <w:snapToGrid/>
          <w:color w:val="auto"/>
          <w:kern w:val="2"/>
          <w:sz w:val="24"/>
          <w:szCs w:val="24"/>
          <w:highlight w:val="none"/>
          <w:lang w:val="en-US" w:eastAsia="zh-CN"/>
        </w:rPr>
        <w:t>乙方</w:t>
      </w:r>
      <w:r>
        <w:rPr>
          <w:rFonts w:hint="eastAsia" w:ascii="宋体" w:hAnsi="宋体" w:eastAsia="宋体" w:cs="宋体"/>
          <w:snapToGrid/>
          <w:color w:val="auto"/>
          <w:sz w:val="24"/>
          <w:szCs w:val="24"/>
          <w:highlight w:val="none"/>
        </w:rPr>
        <w:t>发票之日早于</w:t>
      </w:r>
      <w:r>
        <w:rPr>
          <w:rFonts w:hint="eastAsia" w:ascii="宋体" w:hAnsi="宋体" w:eastAsia="宋体" w:cs="宋体"/>
          <w:snapToGrid/>
          <w:color w:val="auto"/>
          <w:sz w:val="24"/>
          <w:szCs w:val="24"/>
          <w:highlight w:val="none"/>
          <w:lang w:val="en-US" w:eastAsia="zh-CN"/>
        </w:rPr>
        <w:t>验收合格的时间</w:t>
      </w:r>
      <w:r>
        <w:rPr>
          <w:rFonts w:hint="eastAsia" w:ascii="宋体" w:hAnsi="宋体" w:eastAsia="宋体" w:cs="宋体"/>
          <w:snapToGrid/>
          <w:color w:val="auto"/>
          <w:sz w:val="24"/>
          <w:szCs w:val="24"/>
          <w:highlight w:val="none"/>
        </w:rPr>
        <w:t>，则自</w:t>
      </w:r>
      <w:r>
        <w:rPr>
          <w:rFonts w:hint="eastAsia" w:ascii="宋体" w:hAnsi="宋体" w:eastAsia="宋体" w:cs="宋体"/>
          <w:snapToGrid/>
          <w:color w:val="auto"/>
          <w:sz w:val="24"/>
          <w:szCs w:val="24"/>
          <w:highlight w:val="none"/>
          <w:lang w:val="en-US" w:eastAsia="zh-CN"/>
        </w:rPr>
        <w:t>验收合格之日</w:t>
      </w:r>
      <w:r>
        <w:rPr>
          <w:rFonts w:hint="eastAsia" w:ascii="宋体" w:hAnsi="宋体" w:eastAsia="宋体" w:cs="宋体"/>
          <w:snapToGrid/>
          <w:color w:val="auto"/>
          <w:sz w:val="24"/>
          <w:szCs w:val="24"/>
          <w:highlight w:val="none"/>
        </w:rPr>
        <w:t>起</w:t>
      </w:r>
      <w:r>
        <w:rPr>
          <w:rFonts w:hint="eastAsia" w:ascii="宋体" w:hAnsi="宋体" w:eastAsia="宋体" w:cs="宋体"/>
          <w:snapToGrid/>
          <w:color w:val="auto"/>
          <w:sz w:val="24"/>
          <w:szCs w:val="24"/>
          <w:highlight w:val="none"/>
          <w:lang w:val="en-US" w:eastAsia="zh-CN"/>
        </w:rPr>
        <w:t>15</w:t>
      </w:r>
      <w:r>
        <w:rPr>
          <w:rFonts w:hint="eastAsia" w:ascii="宋体" w:hAnsi="宋体" w:eastAsia="宋体" w:cs="宋体"/>
          <w:snapToGrid/>
          <w:color w:val="auto"/>
          <w:sz w:val="24"/>
          <w:szCs w:val="24"/>
          <w:highlight w:val="none"/>
        </w:rPr>
        <w:t>个日历天内支付。</w:t>
      </w:r>
    </w:p>
    <w:p>
      <w:pPr>
        <w:pStyle w:val="11"/>
        <w:keepNext w:val="0"/>
        <w:keepLines w:val="0"/>
        <w:pageBreakBefore w:val="0"/>
        <w:widowControl w:val="0"/>
        <w:kinsoku/>
        <w:overflowPunct/>
        <w:autoSpaceDN/>
        <w:bidi w:val="0"/>
        <w:adjustRightInd w:val="0"/>
        <w:snapToGrid w:val="0"/>
        <w:spacing w:after="0" w:afterLines="0"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snapToGrid/>
          <w:color w:val="auto"/>
          <w:sz w:val="24"/>
          <w:szCs w:val="24"/>
          <w:highlight w:val="none"/>
          <w:lang w:val="en-US"/>
        </w:rPr>
        <w:t>第</w:t>
      </w:r>
      <w:r>
        <w:rPr>
          <w:rFonts w:hint="eastAsia" w:ascii="宋体" w:hAnsi="宋体" w:eastAsia="宋体" w:cs="宋体"/>
          <w:snapToGrid/>
          <w:color w:val="auto"/>
          <w:sz w:val="24"/>
          <w:szCs w:val="24"/>
          <w:highlight w:val="none"/>
          <w:lang w:val="en-US" w:eastAsia="zh-CN"/>
        </w:rPr>
        <w:t>三</w:t>
      </w:r>
      <w:r>
        <w:rPr>
          <w:rFonts w:hint="eastAsia" w:ascii="宋体" w:hAnsi="宋体" w:eastAsia="宋体" w:cs="宋体"/>
          <w:snapToGrid/>
          <w:color w:val="auto"/>
          <w:sz w:val="24"/>
          <w:szCs w:val="24"/>
          <w:highlight w:val="none"/>
          <w:lang w:val="en-US"/>
        </w:rPr>
        <w:t>阶段：</w:t>
      </w:r>
      <w:r>
        <w:rPr>
          <w:rFonts w:hint="eastAsia" w:ascii="宋体" w:hAnsi="宋体" w:eastAsia="宋体" w:cs="宋体"/>
          <w:color w:val="auto"/>
          <w:sz w:val="24"/>
          <w:szCs w:val="24"/>
          <w:highlight w:val="none"/>
          <w:lang w:val="en-US" w:eastAsia="zh-CN"/>
        </w:rPr>
        <w:t>合同服务期结束时，乙方就已经提供服务的人次和对应套餐向甲方提交服务清单，</w:t>
      </w:r>
      <w:r>
        <w:rPr>
          <w:rFonts w:hint="eastAsia" w:ascii="宋体" w:hAnsi="宋体" w:eastAsia="宋体" w:cs="宋体"/>
          <w:snapToGrid/>
          <w:color w:val="auto"/>
          <w:sz w:val="24"/>
          <w:szCs w:val="24"/>
          <w:highlight w:val="none"/>
          <w:lang w:val="en-US" w:eastAsia="zh-CN"/>
        </w:rPr>
        <w:t>经甲方对体检人数进行核实并对乙方提供的相关服务验收合格后</w:t>
      </w:r>
      <w:r>
        <w:rPr>
          <w:rFonts w:hint="eastAsia" w:ascii="宋体" w:hAnsi="宋体" w:eastAsia="宋体" w:cs="宋体"/>
          <w:snapToGrid/>
          <w:color w:val="auto"/>
          <w:sz w:val="24"/>
          <w:szCs w:val="24"/>
          <w:highlight w:val="none"/>
          <w:lang w:val="en-US"/>
        </w:rPr>
        <w:t>，</w:t>
      </w:r>
      <w:r>
        <w:rPr>
          <w:rFonts w:hint="eastAsia" w:ascii="宋体" w:hAnsi="宋体" w:eastAsia="宋体" w:cs="宋体"/>
          <w:color w:val="auto"/>
          <w:sz w:val="24"/>
          <w:szCs w:val="24"/>
          <w:highlight w:val="none"/>
          <w:lang w:val="en-US" w:eastAsia="zh-CN"/>
        </w:rPr>
        <w:t>双方根据最终体检人次进行全额结算，体检人次未达到合同约定人次的，乙方须将未完成服务部分费用退还到甲方账户。</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乙方未按照甲方要求提供</w:t>
      </w:r>
      <w:r>
        <w:rPr>
          <w:rFonts w:hint="eastAsia" w:ascii="宋体" w:hAnsi="宋体" w:eastAsia="宋体" w:cs="宋体"/>
          <w:color w:val="auto"/>
          <w:sz w:val="24"/>
          <w:szCs w:val="24"/>
          <w:highlight w:val="none"/>
          <w:lang w:eastAsia="zh-CN"/>
        </w:rPr>
        <w:t>发票</w:t>
      </w:r>
      <w:r>
        <w:rPr>
          <w:rFonts w:hint="eastAsia" w:ascii="宋体" w:hAnsi="宋体" w:eastAsia="宋体" w:cs="宋体"/>
          <w:color w:val="auto"/>
          <w:sz w:val="24"/>
          <w:szCs w:val="24"/>
          <w:highlight w:val="none"/>
        </w:rPr>
        <w:t>的，甲方有权拒付，且不承担逾期付款的责任。</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.资金支付方式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对公转账</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六、</w:t>
      </w:r>
      <w:r>
        <w:rPr>
          <w:rFonts w:hint="eastAsia"/>
          <w:b/>
          <w:bCs/>
          <w:color w:val="auto"/>
          <w:highlight w:val="none"/>
          <w:lang w:val="en-US" w:eastAsia="zh-CN"/>
        </w:rPr>
        <w:t>★</w:t>
      </w:r>
      <w:r>
        <w:rPr>
          <w:rFonts w:hint="eastAsia" w:ascii="宋体" w:hAnsi="宋体" w:eastAsia="宋体" w:cs="宋体"/>
          <w:b/>
          <w:bCs/>
          <w:color w:val="auto"/>
          <w:sz w:val="24"/>
          <w:szCs w:val="24"/>
          <w:highlight w:val="none"/>
        </w:rPr>
        <w:t>履约保证金要求</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1.</w:t>
      </w:r>
      <w:r>
        <w:rPr>
          <w:rFonts w:hint="eastAsia" w:ascii="宋体" w:hAnsi="宋体" w:eastAsia="宋体" w:cs="宋体"/>
          <w:snapToGrid/>
          <w:color w:val="auto"/>
          <w:sz w:val="24"/>
          <w:szCs w:val="24"/>
          <w:highlight w:val="none"/>
        </w:rPr>
        <w:t>履约保证金为人民币(大写)</w:t>
      </w:r>
      <w:r>
        <w:rPr>
          <w:rFonts w:hint="eastAsia" w:ascii="宋体" w:hAnsi="宋体" w:eastAsia="宋体" w:cs="宋体"/>
          <w:snapToGrid/>
          <w:color w:val="auto"/>
          <w:sz w:val="24"/>
          <w:szCs w:val="24"/>
          <w:highlight w:val="none"/>
          <w:lang w:val="en-US" w:eastAsia="zh-CN"/>
        </w:rPr>
        <w:t>捌万元</w:t>
      </w:r>
      <w:r>
        <w:rPr>
          <w:rFonts w:hint="eastAsia" w:ascii="宋体" w:hAnsi="宋体" w:eastAsia="宋体" w:cs="宋体"/>
          <w:snapToGrid/>
          <w:color w:val="auto"/>
          <w:sz w:val="24"/>
          <w:szCs w:val="24"/>
          <w:highlight w:val="none"/>
        </w:rPr>
        <w:t>整，乙方应在中标通知书发出之日起至合同签订前以银行转账、支票、汇票、本票或者金融机构、担保机构出具的保函等非现金形式向甲方提交履约保证金。</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合同服务期结束或体检服务中约定人次和项目完成，且经甲方</w:t>
      </w:r>
      <w:r>
        <w:rPr>
          <w:rFonts w:hint="eastAsia" w:ascii="宋体" w:hAnsi="宋体" w:eastAsia="宋体" w:cs="宋体"/>
          <w:snapToGrid/>
          <w:color w:val="auto"/>
          <w:sz w:val="24"/>
          <w:szCs w:val="24"/>
          <w:highlight w:val="none"/>
          <w:lang w:val="en-US" w:eastAsia="zh-CN"/>
        </w:rPr>
        <w:t>验收合格后</w:t>
      </w:r>
      <w:r>
        <w:rPr>
          <w:rFonts w:hint="eastAsia" w:ascii="宋体" w:hAnsi="宋体" w:eastAsia="宋体" w:cs="宋体"/>
          <w:snapToGrid/>
          <w:color w:val="auto"/>
          <w:sz w:val="24"/>
          <w:szCs w:val="24"/>
          <w:highlight w:val="none"/>
        </w:rPr>
        <w:t>，</w:t>
      </w:r>
      <w:r>
        <w:rPr>
          <w:rFonts w:hint="eastAsia" w:ascii="宋体" w:hAnsi="宋体" w:eastAsia="宋体" w:cs="宋体"/>
          <w:snapToGrid/>
          <w:color w:val="auto"/>
          <w:sz w:val="24"/>
          <w:szCs w:val="24"/>
          <w:highlight w:val="none"/>
          <w:lang w:val="en-US" w:eastAsia="zh-CN"/>
        </w:rPr>
        <w:t>10</w:t>
      </w:r>
      <w:r>
        <w:rPr>
          <w:rFonts w:hint="eastAsia" w:ascii="宋体" w:hAnsi="宋体" w:eastAsia="宋体" w:cs="宋体"/>
          <w:snapToGrid/>
          <w:color w:val="auto"/>
          <w:sz w:val="24"/>
          <w:szCs w:val="24"/>
          <w:highlight w:val="none"/>
        </w:rPr>
        <w:t>个日历天内</w:t>
      </w:r>
      <w:r>
        <w:rPr>
          <w:rFonts w:hint="eastAsia" w:ascii="宋体" w:hAnsi="宋体" w:eastAsia="宋体" w:cs="宋体"/>
          <w:snapToGrid/>
          <w:color w:val="auto"/>
          <w:sz w:val="24"/>
          <w:szCs w:val="24"/>
          <w:highlight w:val="none"/>
          <w:lang w:val="en-US" w:eastAsia="zh-CN"/>
        </w:rPr>
        <w:t>无息</w:t>
      </w:r>
      <w:r>
        <w:rPr>
          <w:rFonts w:hint="eastAsia" w:ascii="宋体" w:hAnsi="宋体" w:eastAsia="宋体" w:cs="宋体"/>
          <w:snapToGrid/>
          <w:color w:val="auto"/>
          <w:sz w:val="24"/>
          <w:szCs w:val="24"/>
          <w:highlight w:val="none"/>
        </w:rPr>
        <w:t>退还乙方履约保证金。因甲方原因逾期退还的，应当以未退还金额为基数，按合同订立时1年期贷款市场报价利率标准向乙方支付相应违约金，但违约金最高不得超过未退还金额的百分之</w:t>
      </w:r>
      <w:r>
        <w:rPr>
          <w:rFonts w:hint="eastAsia" w:ascii="宋体" w:hAnsi="宋体" w:eastAsia="宋体" w:cs="宋体"/>
          <w:snapToGrid/>
          <w:color w:val="auto"/>
          <w:sz w:val="24"/>
          <w:szCs w:val="24"/>
          <w:highlight w:val="none"/>
          <w:lang w:val="en-US" w:eastAsia="zh-CN"/>
        </w:rPr>
        <w:t>十</w:t>
      </w:r>
      <w:r>
        <w:rPr>
          <w:rFonts w:hint="eastAsia" w:ascii="宋体" w:hAnsi="宋体" w:eastAsia="宋体" w:cs="宋体"/>
          <w:snapToGrid/>
          <w:color w:val="auto"/>
          <w:sz w:val="24"/>
          <w:szCs w:val="24"/>
          <w:highlight w:val="none"/>
        </w:rPr>
        <w:t>。</w:t>
      </w:r>
      <w:r>
        <w:rPr>
          <w:rFonts w:hint="eastAsia" w:ascii="宋体" w:hAnsi="宋体" w:eastAsia="宋体" w:cs="宋体"/>
          <w:snapToGrid/>
          <w:color w:val="auto"/>
          <w:sz w:val="24"/>
          <w:szCs w:val="24"/>
          <w:highlight w:val="none"/>
          <w:lang w:val="en-US" w:eastAsia="zh-CN"/>
        </w:rPr>
        <w:t>若因乙方不及时或未提供</w:t>
      </w:r>
      <w:r>
        <w:rPr>
          <w:rFonts w:hint="eastAsia" w:ascii="宋体" w:hAnsi="宋体" w:eastAsia="宋体" w:cs="宋体"/>
          <w:snapToGrid/>
          <w:color w:val="auto"/>
          <w:sz w:val="24"/>
          <w:szCs w:val="24"/>
          <w:highlight w:val="none"/>
          <w:lang w:val="zh-CN" w:eastAsia="zh-CN"/>
        </w:rPr>
        <w:t>“收到退还履约保证金的收据”、“履约保证金退还申请”</w:t>
      </w:r>
      <w:r>
        <w:rPr>
          <w:rFonts w:hint="eastAsia" w:ascii="宋体" w:hAnsi="宋体" w:eastAsia="宋体" w:cs="宋体"/>
          <w:snapToGrid/>
          <w:color w:val="auto"/>
          <w:sz w:val="24"/>
          <w:szCs w:val="24"/>
          <w:highlight w:val="none"/>
          <w:lang w:val="en-US" w:eastAsia="zh-CN"/>
        </w:rPr>
        <w:t>的</w:t>
      </w:r>
      <w:r>
        <w:rPr>
          <w:rFonts w:hint="eastAsia" w:ascii="宋体" w:hAnsi="宋体" w:eastAsia="宋体" w:cs="宋体"/>
          <w:snapToGrid/>
          <w:color w:val="auto"/>
          <w:sz w:val="24"/>
          <w:szCs w:val="24"/>
          <w:highlight w:val="none"/>
          <w:lang w:val="zh-CN" w:eastAsia="zh-CN"/>
        </w:rPr>
        <w:t>，</w:t>
      </w:r>
      <w:r>
        <w:rPr>
          <w:rFonts w:hint="eastAsia" w:ascii="宋体" w:hAnsi="宋体" w:eastAsia="宋体" w:cs="宋体"/>
          <w:snapToGrid/>
          <w:color w:val="auto"/>
          <w:sz w:val="24"/>
          <w:szCs w:val="24"/>
          <w:highlight w:val="none"/>
          <w:lang w:val="en-US" w:eastAsia="zh-CN"/>
        </w:rPr>
        <w:t>则甲方不承担</w:t>
      </w:r>
      <w:r>
        <w:rPr>
          <w:rFonts w:hint="eastAsia" w:ascii="宋体" w:hAnsi="宋体" w:eastAsia="宋体" w:cs="宋体"/>
          <w:snapToGrid/>
          <w:color w:val="auto"/>
          <w:sz w:val="24"/>
          <w:szCs w:val="24"/>
          <w:highlight w:val="none"/>
          <w:lang w:val="zh-CN" w:eastAsia="zh-CN"/>
        </w:rPr>
        <w:t>逾期退还</w:t>
      </w:r>
      <w:r>
        <w:rPr>
          <w:rFonts w:hint="eastAsia" w:ascii="宋体" w:hAnsi="宋体" w:eastAsia="宋体" w:cs="宋体"/>
          <w:snapToGrid/>
          <w:color w:val="auto"/>
          <w:sz w:val="24"/>
          <w:szCs w:val="24"/>
          <w:highlight w:val="none"/>
          <w:lang w:val="en-US" w:eastAsia="zh-CN"/>
        </w:rPr>
        <w:t>违约责任</w:t>
      </w:r>
      <w:r>
        <w:rPr>
          <w:rFonts w:hint="eastAsia" w:ascii="宋体" w:hAnsi="宋体" w:eastAsia="宋体" w:cs="宋体"/>
          <w:snapToGrid/>
          <w:color w:val="auto"/>
          <w:sz w:val="24"/>
          <w:szCs w:val="24"/>
          <w:highlight w:val="none"/>
          <w:lang w:val="zh-CN" w:eastAsia="zh-CN"/>
        </w:rPr>
        <w:t>。</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val="en-US" w:eastAsia="zh-CN"/>
        </w:rPr>
        <w:t>3.</w:t>
      </w:r>
      <w:r>
        <w:rPr>
          <w:rFonts w:hint="eastAsia" w:ascii="宋体" w:hAnsi="宋体" w:eastAsia="宋体" w:cs="宋体"/>
          <w:snapToGrid/>
          <w:color w:val="auto"/>
          <w:sz w:val="24"/>
          <w:szCs w:val="24"/>
          <w:highlight w:val="none"/>
        </w:rPr>
        <w:t>履约保证金汇入的银行及账号：</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rPr>
        <w:t>收款账号：成都市技师学院</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rPr>
        <w:t>开户</w:t>
      </w:r>
      <w:r>
        <w:rPr>
          <w:rFonts w:hint="eastAsia" w:ascii="宋体" w:hAnsi="宋体" w:eastAsia="宋体" w:cs="宋体"/>
          <w:snapToGrid/>
          <w:color w:val="auto"/>
          <w:sz w:val="24"/>
          <w:szCs w:val="24"/>
          <w:highlight w:val="none"/>
          <w:lang w:eastAsia="zh-CN"/>
        </w:rPr>
        <w:t>银</w:t>
      </w:r>
      <w:r>
        <w:rPr>
          <w:rFonts w:hint="eastAsia" w:ascii="宋体" w:hAnsi="宋体" w:eastAsia="宋体" w:cs="宋体"/>
          <w:snapToGrid/>
          <w:color w:val="auto"/>
          <w:sz w:val="24"/>
          <w:szCs w:val="24"/>
          <w:highlight w:val="none"/>
        </w:rPr>
        <w:t>行：</w:t>
      </w:r>
      <w:r>
        <w:rPr>
          <w:rFonts w:hint="eastAsia" w:ascii="宋体" w:hAnsi="宋体" w:eastAsia="宋体" w:cs="宋体"/>
          <w:color w:val="auto"/>
          <w:sz w:val="24"/>
          <w:szCs w:val="24"/>
          <w:highlight w:val="none"/>
        </w:rPr>
        <w:t>工行四川成都分行郫都红光支行</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rPr>
        <w:t>银行账号：4402054609100031151</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snapToGrid/>
          <w:color w:val="auto"/>
          <w:sz w:val="24"/>
          <w:szCs w:val="24"/>
          <w:highlight w:val="none"/>
          <w:lang w:val="en-US" w:eastAsia="zh-CN"/>
        </w:rPr>
        <w:t>4.</w:t>
      </w:r>
      <w:r>
        <w:rPr>
          <w:rFonts w:hint="eastAsia" w:ascii="宋体" w:hAnsi="宋体" w:eastAsia="宋体" w:cs="宋体"/>
          <w:snapToGrid/>
          <w:color w:val="auto"/>
          <w:sz w:val="24"/>
          <w:szCs w:val="24"/>
          <w:highlight w:val="none"/>
        </w:rPr>
        <w:t>履约保证金不予退还情形</w:t>
      </w:r>
      <w:r>
        <w:rPr>
          <w:rFonts w:hint="eastAsia" w:ascii="宋体" w:hAnsi="宋体" w:eastAsia="宋体" w:cs="宋体"/>
          <w:snapToGrid/>
          <w:color w:val="auto"/>
          <w:sz w:val="24"/>
          <w:szCs w:val="24"/>
          <w:highlight w:val="none"/>
          <w:lang w:eastAsia="zh-CN"/>
        </w:rPr>
        <w:t>：</w:t>
      </w:r>
      <w:r>
        <w:rPr>
          <w:rFonts w:hint="eastAsia" w:ascii="宋体" w:hAnsi="宋体" w:eastAsia="宋体" w:cs="宋体"/>
          <w:snapToGrid/>
          <w:color w:val="auto"/>
          <w:sz w:val="24"/>
          <w:szCs w:val="24"/>
          <w:highlight w:val="none"/>
        </w:rPr>
        <w:t>一是乙方未按合同要求履行的，其履约保证金全部扣除。二是乙方缴纳了履约保证金，但因自身原因被取消</w:t>
      </w:r>
      <w:r>
        <w:rPr>
          <w:rFonts w:hint="eastAsia" w:cs="宋体"/>
          <w:snapToGrid/>
          <w:color w:val="auto"/>
          <w:sz w:val="24"/>
          <w:szCs w:val="24"/>
          <w:highlight w:val="none"/>
          <w:lang w:val="en-US" w:eastAsia="zh-CN"/>
        </w:rPr>
        <w:t>中标</w:t>
      </w:r>
      <w:r>
        <w:rPr>
          <w:rFonts w:hint="eastAsia" w:ascii="宋体" w:hAnsi="宋体" w:eastAsia="宋体" w:cs="宋体"/>
          <w:snapToGrid/>
          <w:color w:val="auto"/>
          <w:sz w:val="24"/>
          <w:szCs w:val="24"/>
          <w:highlight w:val="none"/>
        </w:rPr>
        <w:t>资格或在</w:t>
      </w:r>
      <w:r>
        <w:rPr>
          <w:rFonts w:hint="eastAsia" w:cs="宋体"/>
          <w:snapToGrid/>
          <w:color w:val="auto"/>
          <w:sz w:val="24"/>
          <w:szCs w:val="24"/>
          <w:highlight w:val="none"/>
          <w:lang w:val="en-US" w:eastAsia="zh-CN"/>
        </w:rPr>
        <w:t>中标</w:t>
      </w:r>
      <w:r>
        <w:rPr>
          <w:rFonts w:hint="eastAsia" w:ascii="宋体" w:hAnsi="宋体" w:eastAsia="宋体" w:cs="宋体"/>
          <w:snapToGrid/>
          <w:color w:val="auto"/>
          <w:sz w:val="24"/>
          <w:szCs w:val="24"/>
          <w:highlight w:val="none"/>
        </w:rPr>
        <w:t>公示期满之日起30个日历天(含法定节假日)内乙方不按招标文件确定的事项与甲方签订合同的，其履约保证金不予退还。三是法律法规或合同约定的其他情形。</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、人员配置要求</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针对本项目拟派的医生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overflowPunct/>
        <w:autoSpaceDN/>
        <w:bidi w:val="0"/>
        <w:adjustRightInd w:val="0"/>
        <w:snapToGrid w:val="0"/>
        <w:spacing w:line="440" w:lineRule="exact"/>
        <w:ind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八</w:t>
      </w:r>
      <w:r>
        <w:rPr>
          <w:rFonts w:hint="eastAsia" w:ascii="宋体" w:hAnsi="宋体" w:eastAsia="宋体" w:cs="宋体"/>
          <w:b/>
          <w:bCs/>
          <w:color w:val="auto"/>
          <w:sz w:val="24"/>
          <w:szCs w:val="24"/>
          <w:highlight w:val="none"/>
        </w:rPr>
        <w:t>、双方的权利和义务</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甲方的权利和义务</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1.为保证体检结果的准确以及确保服务工作顺利进行，甲方应</w:t>
      </w:r>
      <w:r>
        <w:rPr>
          <w:rFonts w:hint="eastAsia" w:ascii="宋体" w:hAnsi="宋体" w:eastAsia="宋体" w:cs="宋体"/>
          <w:color w:val="auto"/>
          <w:sz w:val="24"/>
          <w:szCs w:val="24"/>
          <w:highlight w:val="none"/>
          <w:lang w:eastAsia="zh-CN"/>
        </w:rPr>
        <w:t>体检</w:t>
      </w:r>
      <w:r>
        <w:rPr>
          <w:rFonts w:hint="eastAsia" w:ascii="宋体" w:hAnsi="宋体" w:eastAsia="宋体" w:cs="宋体"/>
          <w:color w:val="auto"/>
          <w:sz w:val="24"/>
          <w:szCs w:val="24"/>
          <w:highlight w:val="none"/>
        </w:rPr>
        <w:t>前一周确定绿色通道阶段体检时间和大致人数；</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2.本着对参检人员健康高度负责的原则，甲方不能组织已确诊的各类传染性疾病患者、危重病情人员及各类具有重大疾病突发隐患的人员参加本次健康体检；</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3.甲方确保此次参检人员与所提供人员身份信息的准确性，因身份不符或甲方受检人员故意隐瞒既往病史导致结果错误的，乙方不承担责任；</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4.甲方有权对合同规定范围内乙方提供的服务行为进行监督和检查，拥有监管权。有权核对乙方提供的服务质量。甲方有权对乙方未按照要求提供的服务下达整改通知书，并要求乙方</w:t>
      </w:r>
      <w:r>
        <w:rPr>
          <w:rFonts w:hint="eastAsia" w:ascii="宋体" w:hAnsi="宋体" w:eastAsia="宋体" w:cs="宋体"/>
          <w:color w:val="auto"/>
          <w:sz w:val="24"/>
          <w:szCs w:val="24"/>
          <w:highlight w:val="none"/>
          <w:lang w:val="en-US" w:eastAsia="zh-CN"/>
        </w:rPr>
        <w:t>7个工作日内</w:t>
      </w:r>
      <w:r>
        <w:rPr>
          <w:rFonts w:hint="eastAsia" w:ascii="宋体" w:hAnsi="宋体" w:eastAsia="宋体" w:cs="宋体"/>
          <w:color w:val="auto"/>
          <w:sz w:val="24"/>
          <w:szCs w:val="24"/>
          <w:highlight w:val="none"/>
        </w:rPr>
        <w:t>整改；</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5.甲方应根据本协议规定的付款方式支付相关体检费用；</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6.体检报告及相关健康信息属个人隐私，甲方在发放的过程中须根据本单位要求做到妥善保管并送达本人，同时承担信息保密责任；</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乙方的权利和义务</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1.乙方在甲方职工体检前二个工作日内向甲方提供健康检查注意事项；</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2.乙方在本协议规定的范围内为甲方提供体检服务，并保证质量。因乙方工作疏漏等原因造成体检质量问题由乙方免费补检漏检、错检项目，并承担因此产生的</w:t>
      </w:r>
      <w:r>
        <w:rPr>
          <w:rFonts w:hint="eastAsia" w:ascii="宋体" w:hAnsi="宋体" w:eastAsia="宋体" w:cs="宋体"/>
          <w:color w:val="auto"/>
          <w:sz w:val="24"/>
          <w:szCs w:val="24"/>
          <w:highlight w:val="none"/>
          <w:lang w:eastAsia="zh-CN"/>
        </w:rPr>
        <w:t>全部</w:t>
      </w:r>
      <w:r>
        <w:rPr>
          <w:rFonts w:hint="eastAsia" w:ascii="宋体" w:hAnsi="宋体" w:eastAsia="宋体" w:cs="宋体"/>
          <w:color w:val="auto"/>
          <w:sz w:val="24"/>
          <w:szCs w:val="24"/>
          <w:highlight w:val="none"/>
        </w:rPr>
        <w:t>法律责任及损害赔偿责任；</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3.乙方在甲方职工体检结束后十个工作日内向甲方提供体检报告，并建立个人健康信息档案；</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4.乙方向甲方提供个人及团体分析报告时，对甲方职工的个人健康信息及体检结果承担保密责任；</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5.乙方根据甲方协议价格提供合法等额的发票，否则甲方有权拒付，且不承担逾期付款责任。</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6.乙方保证所提供账户真实性、准确性，甲方向该账户付款后，即视为履行了付款义务。</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7.及时向甲方通告本项目服务范围内有关服务的重大事项，及时配合处理投诉。</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接受项目行业管理部门及政府有关部门的指导，接受甲方的监督。</w:t>
      </w:r>
    </w:p>
    <w:p>
      <w:pPr>
        <w:keepNext w:val="0"/>
        <w:keepLines w:val="0"/>
        <w:pageBreakBefore w:val="0"/>
        <w:widowControl w:val="0"/>
        <w:kinsoku/>
        <w:overflowPunct/>
        <w:autoSpaceDN/>
        <w:bidi w:val="0"/>
        <w:adjustRightInd w:val="0"/>
        <w:snapToGrid w:val="0"/>
        <w:spacing w:line="440" w:lineRule="exact"/>
        <w:ind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.国家法律、法规所规定由乙方承担的其它责任。</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九</w:t>
      </w:r>
      <w:r>
        <w:rPr>
          <w:rFonts w:hint="eastAsia" w:ascii="宋体" w:hAnsi="宋体" w:eastAsia="宋体" w:cs="宋体"/>
          <w:b/>
          <w:bCs/>
          <w:color w:val="auto"/>
          <w:sz w:val="24"/>
          <w:szCs w:val="24"/>
          <w:highlight w:val="none"/>
        </w:rPr>
        <w:t>、验收、交付标准和方法</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1.验收主体：</w:t>
      </w:r>
      <w:r>
        <w:rPr>
          <w:rFonts w:hint="eastAsia" w:ascii="宋体" w:hAnsi="宋体" w:eastAsia="宋体" w:cs="宋体"/>
          <w:color w:val="auto"/>
          <w:sz w:val="24"/>
          <w:szCs w:val="24"/>
          <w:highlight w:val="none"/>
          <w:lang w:eastAsia="zh-CN"/>
        </w:rPr>
        <w:t>甲方</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2.验收时间：</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个体验收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参与体检的教职工完成体检且收到体检报告时</w:t>
      </w:r>
      <w:r>
        <w:rPr>
          <w:rFonts w:hint="eastAsia" w:ascii="宋体" w:hAnsi="宋体" w:eastAsia="宋体" w:cs="宋体"/>
          <w:color w:val="auto"/>
          <w:sz w:val="24"/>
          <w:szCs w:val="24"/>
          <w:highlight w:val="none"/>
          <w:lang w:eastAsia="zh-CN"/>
        </w:rPr>
        <w:t>进行</w:t>
      </w:r>
      <w:r>
        <w:rPr>
          <w:rFonts w:hint="eastAsia" w:ascii="宋体" w:hAnsi="宋体" w:eastAsia="宋体" w:cs="宋体"/>
          <w:color w:val="auto"/>
          <w:sz w:val="24"/>
          <w:szCs w:val="24"/>
          <w:highlight w:val="none"/>
        </w:rPr>
        <w:t>个体验收；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阶段验收：本项目分2个阶段验收，第一阶段为合同签订之日起30个日历日时；第二阶段为2022年11月1日，乙方阶段性工作完成后书面通知甲方验收，</w:t>
      </w:r>
      <w:r>
        <w:rPr>
          <w:rFonts w:hint="eastAsia" w:ascii="宋体" w:hAnsi="宋体" w:eastAsia="宋体" w:cs="宋体"/>
          <w:color w:val="auto"/>
          <w:sz w:val="24"/>
          <w:szCs w:val="24"/>
          <w:highlight w:val="none"/>
          <w:lang w:eastAsia="zh-CN"/>
        </w:rPr>
        <w:t>甲方收到通知之日起</w:t>
      </w:r>
      <w:r>
        <w:rPr>
          <w:rFonts w:hint="eastAsia" w:ascii="宋体" w:hAnsi="宋体" w:eastAsia="宋体" w:cs="宋体"/>
          <w:color w:val="auto"/>
          <w:sz w:val="24"/>
          <w:szCs w:val="24"/>
          <w:highlight w:val="none"/>
        </w:rPr>
        <w:t>组织三人</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以上的验收小组</w:t>
      </w:r>
      <w:r>
        <w:rPr>
          <w:rFonts w:hint="eastAsia" w:ascii="宋体" w:hAnsi="宋体" w:eastAsia="宋体" w:cs="宋体"/>
          <w:color w:val="auto"/>
          <w:sz w:val="24"/>
          <w:szCs w:val="24"/>
          <w:highlight w:val="none"/>
          <w:lang w:eastAsia="zh-CN"/>
        </w:rPr>
        <w:t>进行阶段服务</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eastAsia="zh-CN"/>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整体</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最后验收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体检服务中约定人次和项目完成或者合同服务期结束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乙方书面通知甲方进行验收，甲方接到验收通知后7</w:t>
      </w:r>
      <w:r>
        <w:rPr>
          <w:rFonts w:hint="eastAsia" w:ascii="宋体" w:hAnsi="宋体" w:eastAsia="宋体" w:cs="宋体"/>
          <w:color w:val="auto"/>
          <w:sz w:val="24"/>
          <w:szCs w:val="24"/>
          <w:highlight w:val="none"/>
        </w:rPr>
        <w:t>个日历天内组织三人</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以上的验收小组对整体服务工作进行验收。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3.验收的方式：</w:t>
      </w:r>
      <w:r>
        <w:rPr>
          <w:rFonts w:hint="eastAsia" w:ascii="宋体" w:hAnsi="宋体" w:eastAsia="宋体" w:cs="宋体"/>
          <w:color w:val="auto"/>
          <w:sz w:val="24"/>
          <w:szCs w:val="24"/>
          <w:highlight w:val="none"/>
          <w:lang w:val="en-US" w:eastAsia="zh-CN"/>
        </w:rPr>
        <w:t>单位内部验收</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4.验收程序：</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个体验收：</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组织体检，参与体检的教职工完成体检且收到体检报告时，由参检个人根据体检实际情况实施</w:t>
      </w:r>
      <w:r>
        <w:rPr>
          <w:rFonts w:hint="eastAsia" w:ascii="宋体" w:hAnsi="宋体" w:eastAsia="宋体" w:cs="宋体"/>
          <w:color w:val="auto"/>
          <w:sz w:val="24"/>
          <w:szCs w:val="24"/>
          <w:highlight w:val="none"/>
          <w:lang w:eastAsia="zh-CN"/>
        </w:rPr>
        <w:t>个体</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eastAsia="zh-CN"/>
        </w:rPr>
        <w:t>，参加体检的教职工有权就体检过程中乙方服务不符合要求的内容向乙方提出整改，乙方拒绝整改或未在</w:t>
      </w:r>
      <w:r>
        <w:rPr>
          <w:rFonts w:hint="eastAsia" w:ascii="宋体" w:hAnsi="宋体" w:eastAsia="宋体" w:cs="宋体"/>
          <w:color w:val="auto"/>
          <w:sz w:val="24"/>
          <w:szCs w:val="24"/>
          <w:highlight w:val="none"/>
          <w:lang w:val="en-US" w:eastAsia="zh-CN"/>
        </w:rPr>
        <w:t>7个工作日内</w:t>
      </w:r>
      <w:r>
        <w:rPr>
          <w:rFonts w:hint="eastAsia" w:ascii="宋体" w:hAnsi="宋体" w:eastAsia="宋体" w:cs="宋体"/>
          <w:color w:val="auto"/>
          <w:sz w:val="24"/>
          <w:szCs w:val="24"/>
          <w:highlight w:val="none"/>
          <w:lang w:eastAsia="zh-CN"/>
        </w:rPr>
        <w:t>完成整改的，视为个体验收不合格，参加体检的教职工有权将相关情况报至甲方，每核实一次，甲方有权要求乙方按</w:t>
      </w:r>
      <w:r>
        <w:rPr>
          <w:rFonts w:hint="eastAsia" w:ascii="宋体" w:hAnsi="宋体" w:eastAsia="宋体" w:cs="宋体"/>
          <w:color w:val="auto"/>
          <w:sz w:val="24"/>
          <w:szCs w:val="24"/>
          <w:highlight w:val="none"/>
          <w:lang w:val="en-US" w:eastAsia="zh-CN"/>
        </w:rPr>
        <w:t>1000元/次支付违约金，相应违约金甲方可直接从乙方交纳的履约保证金中扣除，履约保证金不足后，乙方应对履约保证金进行补足，</w:t>
      </w:r>
      <w:r>
        <w:rPr>
          <w:rFonts w:hint="eastAsia" w:ascii="宋体" w:hAnsi="宋体" w:eastAsia="宋体" w:cs="宋体"/>
          <w:color w:val="auto"/>
          <w:sz w:val="24"/>
          <w:szCs w:val="24"/>
          <w:highlight w:val="none"/>
          <w:lang w:eastAsia="zh-CN"/>
        </w:rPr>
        <w:t>且不合格的服务不计入服务人次。</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阶段验收：乙方在每个阶段截止时间</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单位</w:t>
      </w:r>
      <w:r>
        <w:rPr>
          <w:rFonts w:hint="eastAsia" w:ascii="宋体" w:hAnsi="宋体" w:eastAsia="宋体" w:cs="宋体"/>
          <w:color w:val="auto"/>
          <w:sz w:val="24"/>
          <w:szCs w:val="24"/>
          <w:highlight w:val="none"/>
          <w:lang w:eastAsia="zh-CN"/>
        </w:rPr>
        <w:t>阶段体检人次清单，</w:t>
      </w:r>
      <w:r>
        <w:rPr>
          <w:rFonts w:hint="eastAsia" w:ascii="宋体" w:hAnsi="宋体" w:eastAsia="宋体" w:cs="宋体"/>
          <w:color w:val="auto"/>
          <w:sz w:val="24"/>
          <w:szCs w:val="24"/>
          <w:highlight w:val="none"/>
          <w:lang w:val="en-US" w:eastAsia="zh-CN"/>
        </w:rPr>
        <w:t>且在第二阶段截止时间前</w:t>
      </w:r>
      <w:r>
        <w:rPr>
          <w:rFonts w:hint="eastAsia" w:ascii="宋体" w:hAnsi="宋体" w:eastAsia="宋体" w:cs="宋体"/>
          <w:color w:val="auto"/>
          <w:sz w:val="24"/>
          <w:szCs w:val="24"/>
          <w:highlight w:val="none"/>
          <w:lang w:eastAsia="zh-CN"/>
        </w:rPr>
        <w:t>向甲方提交</w:t>
      </w:r>
      <w:r>
        <w:rPr>
          <w:rFonts w:hint="eastAsia" w:ascii="宋体" w:hAnsi="宋体" w:eastAsia="宋体" w:cs="宋体"/>
          <w:color w:val="auto"/>
          <w:sz w:val="24"/>
          <w:szCs w:val="24"/>
          <w:highlight w:val="none"/>
        </w:rPr>
        <w:t>健康状况分析报告以及完成</w:t>
      </w:r>
      <w:r>
        <w:rPr>
          <w:rFonts w:hint="eastAsia" w:ascii="宋体" w:hAnsi="宋体" w:eastAsia="宋体" w:cs="宋体"/>
          <w:b w:val="0"/>
          <w:color w:val="auto"/>
          <w:sz w:val="24"/>
          <w:szCs w:val="24"/>
          <w:highlight w:val="none"/>
        </w:rPr>
        <w:t>健康</w:t>
      </w:r>
      <w:r>
        <w:rPr>
          <w:rFonts w:hint="eastAsia" w:ascii="宋体" w:hAnsi="宋体" w:eastAsia="宋体" w:cs="宋体"/>
          <w:b w:val="0"/>
          <w:color w:val="auto"/>
          <w:sz w:val="24"/>
          <w:szCs w:val="24"/>
          <w:highlight w:val="none"/>
          <w:lang w:val="en-US" w:eastAsia="zh-CN"/>
        </w:rPr>
        <w:t>知识</w:t>
      </w:r>
      <w:r>
        <w:rPr>
          <w:rFonts w:hint="eastAsia" w:ascii="宋体" w:hAnsi="宋体" w:eastAsia="宋体" w:cs="宋体"/>
          <w:b w:val="0"/>
          <w:color w:val="auto"/>
          <w:sz w:val="24"/>
          <w:szCs w:val="24"/>
          <w:highlight w:val="none"/>
        </w:rPr>
        <w:t>讲座</w:t>
      </w:r>
      <w:r>
        <w:rPr>
          <w:rFonts w:hint="eastAsia" w:ascii="宋体" w:hAnsi="宋体" w:eastAsia="宋体" w:cs="宋体"/>
          <w:b w:val="0"/>
          <w:color w:val="auto"/>
          <w:sz w:val="24"/>
          <w:szCs w:val="24"/>
          <w:highlight w:val="none"/>
          <w:lang w:val="en-US" w:eastAsia="zh-CN"/>
        </w:rPr>
        <w:t>和</w:t>
      </w:r>
      <w:r>
        <w:rPr>
          <w:rFonts w:hint="eastAsia" w:ascii="宋体" w:hAnsi="宋体" w:eastAsia="宋体" w:cs="宋体"/>
          <w:color w:val="auto"/>
          <w:sz w:val="24"/>
          <w:szCs w:val="24"/>
          <w:highlight w:val="none"/>
        </w:rPr>
        <w:t>体检结果解读</w:t>
      </w:r>
      <w:r>
        <w:rPr>
          <w:rFonts w:hint="eastAsia" w:ascii="宋体" w:hAnsi="宋体" w:eastAsia="宋体" w:cs="宋体"/>
          <w:color w:val="auto"/>
          <w:sz w:val="24"/>
          <w:szCs w:val="24"/>
          <w:highlight w:val="none"/>
          <w:lang w:eastAsia="zh-CN"/>
        </w:rPr>
        <w:t>，已体检人次清单，未体检人次清单及相应项目，甲方根据乙方提供的材料组织阶段性体检验收工作并对体检人次及对应项目进行核实；</w:t>
      </w:r>
      <w:r>
        <w:rPr>
          <w:rFonts w:hint="eastAsia" w:ascii="宋体" w:hAnsi="宋体" w:eastAsia="宋体" w:cs="宋体"/>
          <w:color w:val="auto"/>
          <w:sz w:val="24"/>
          <w:szCs w:val="24"/>
          <w:highlight w:val="none"/>
        </w:rPr>
        <w:t>如验收合格，则</w:t>
      </w:r>
      <w:r>
        <w:rPr>
          <w:rFonts w:hint="eastAsia" w:ascii="宋体" w:hAnsi="宋体" w:eastAsia="宋体" w:cs="宋体"/>
          <w:color w:val="auto"/>
          <w:sz w:val="24"/>
          <w:szCs w:val="24"/>
          <w:highlight w:val="none"/>
          <w:lang w:eastAsia="zh-CN"/>
        </w:rPr>
        <w:t>双方</w:t>
      </w:r>
      <w:r>
        <w:rPr>
          <w:rFonts w:hint="eastAsia" w:ascii="宋体" w:hAnsi="宋体" w:eastAsia="宋体" w:cs="宋体"/>
          <w:color w:val="auto"/>
          <w:sz w:val="24"/>
          <w:szCs w:val="24"/>
          <w:highlight w:val="none"/>
        </w:rPr>
        <w:t>签署《</w:t>
      </w:r>
      <w:r>
        <w:rPr>
          <w:rFonts w:hint="eastAsia" w:ascii="宋体" w:hAnsi="宋体" w:eastAsia="宋体" w:cs="宋体"/>
          <w:color w:val="auto"/>
          <w:sz w:val="24"/>
          <w:szCs w:val="24"/>
          <w:highlight w:val="none"/>
          <w:lang w:val="en-US" w:eastAsia="zh-CN"/>
        </w:rPr>
        <w:t>阶段</w:t>
      </w: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报告单》。</w:t>
      </w:r>
      <w:r>
        <w:rPr>
          <w:rFonts w:hint="eastAsia" w:ascii="宋体" w:hAnsi="宋体" w:eastAsia="宋体" w:cs="宋体"/>
          <w:color w:val="auto"/>
          <w:sz w:val="24"/>
          <w:szCs w:val="24"/>
          <w:highlight w:val="none"/>
          <w:lang w:eastAsia="zh-CN"/>
        </w:rPr>
        <w:t>若验收不合格，</w:t>
      </w:r>
      <w:r>
        <w:rPr>
          <w:rFonts w:hint="eastAsia" w:ascii="宋体" w:hAnsi="宋体" w:eastAsia="宋体" w:cs="宋体"/>
          <w:color w:val="auto"/>
          <w:sz w:val="24"/>
          <w:szCs w:val="24"/>
          <w:highlight w:val="none"/>
          <w:lang w:val="en-US" w:eastAsia="zh-CN"/>
        </w:rPr>
        <w:t>甲方有权</w:t>
      </w:r>
      <w:r>
        <w:rPr>
          <w:rFonts w:hint="eastAsia" w:ascii="宋体" w:hAnsi="宋体" w:eastAsia="宋体" w:cs="宋体"/>
          <w:color w:val="auto"/>
          <w:sz w:val="24"/>
          <w:szCs w:val="24"/>
          <w:highlight w:val="none"/>
          <w:lang w:eastAsia="zh-CN"/>
        </w:rPr>
        <w:t>要求乙方在</w:t>
      </w:r>
      <w:r>
        <w:rPr>
          <w:rFonts w:hint="eastAsia" w:ascii="宋体" w:hAnsi="宋体" w:eastAsia="宋体" w:cs="宋体"/>
          <w:color w:val="auto"/>
          <w:sz w:val="24"/>
          <w:szCs w:val="24"/>
          <w:highlight w:val="none"/>
          <w:lang w:val="en-US" w:eastAsia="zh-CN"/>
        </w:rPr>
        <w:t>7个工作日内整改；若乙方整改后验收依然不合格或未在规定时间内完成整改，按照合同第十四条第(二)款第一项的违约责任处理且不合格的部分不计入服务人次。</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整体验收(最后验收)：体检服务中约定人次和项目完成或者合同结束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7个日历天内</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组织三人</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以上的验收小组进行验收</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sz w:val="24"/>
          <w:szCs w:val="24"/>
          <w:highlight w:val="none"/>
        </w:rPr>
        <w:t>如验收合格，则</w:t>
      </w:r>
      <w:r>
        <w:rPr>
          <w:rFonts w:hint="eastAsia" w:ascii="宋体" w:hAnsi="宋体" w:eastAsia="宋体" w:cs="宋体"/>
          <w:color w:val="auto"/>
          <w:sz w:val="24"/>
          <w:szCs w:val="24"/>
          <w:highlight w:val="none"/>
          <w:lang w:eastAsia="zh-CN"/>
        </w:rPr>
        <w:t>双方</w:t>
      </w:r>
      <w:r>
        <w:rPr>
          <w:rFonts w:hint="eastAsia" w:ascii="宋体" w:hAnsi="宋体" w:eastAsia="宋体" w:cs="宋体"/>
          <w:color w:val="auto"/>
          <w:sz w:val="24"/>
          <w:szCs w:val="24"/>
          <w:highlight w:val="none"/>
        </w:rPr>
        <w:t>签署《</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验收报告单》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同时按合格的体检服务人次进行最终费用结算</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若验收不合格，</w:t>
      </w:r>
      <w:r>
        <w:rPr>
          <w:rFonts w:hint="eastAsia" w:ascii="宋体" w:hAnsi="宋体" w:eastAsia="宋体" w:cs="宋体"/>
          <w:color w:val="auto"/>
          <w:sz w:val="24"/>
          <w:szCs w:val="24"/>
          <w:highlight w:val="none"/>
          <w:lang w:val="en-US" w:eastAsia="zh-CN"/>
        </w:rPr>
        <w:t>甲方有权</w:t>
      </w:r>
      <w:r>
        <w:rPr>
          <w:rFonts w:hint="eastAsia" w:ascii="宋体" w:hAnsi="宋体" w:eastAsia="宋体" w:cs="宋体"/>
          <w:color w:val="auto"/>
          <w:sz w:val="24"/>
          <w:szCs w:val="24"/>
          <w:highlight w:val="none"/>
          <w:lang w:eastAsia="zh-CN"/>
        </w:rPr>
        <w:t>要求乙方在</w:t>
      </w:r>
      <w:r>
        <w:rPr>
          <w:rFonts w:hint="eastAsia" w:ascii="宋体" w:hAnsi="宋体" w:eastAsia="宋体" w:cs="宋体"/>
          <w:color w:val="auto"/>
          <w:sz w:val="24"/>
          <w:szCs w:val="24"/>
          <w:highlight w:val="none"/>
          <w:lang w:val="en-US" w:eastAsia="zh-CN"/>
        </w:rPr>
        <w:t>7个工作日内整改；若整改后验收依然不合格或未在规定时间内完成整改，按照合同第十四条第(二)款第一项的违约责任处理。</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5.验收内容：</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个体验收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个人在体检过程中对体检项目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含体检报告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提</w:t>
      </w:r>
      <w:r>
        <w:rPr>
          <w:rFonts w:hint="eastAsia" w:ascii="宋体" w:hAnsi="宋体" w:eastAsia="宋体" w:cs="宋体"/>
          <w:color w:val="auto"/>
          <w:sz w:val="24"/>
          <w:szCs w:val="24"/>
          <w:highlight w:val="none"/>
        </w:rPr>
        <w:t>供营养早餐、预约挂号、人员及实施设备配置、健康检查注意事项提示的履约情况进行逐条验收。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2</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阶段验收：每个阶段乙方是否向所有参检职工均出具了体检报告；且在第二阶段是否提供单位健康状况分析报告，是否开展至少一次</w:t>
      </w:r>
      <w:r>
        <w:rPr>
          <w:rFonts w:hint="eastAsia" w:ascii="宋体" w:hAnsi="宋体" w:eastAsia="宋体" w:cs="宋体"/>
          <w:b w:val="0"/>
          <w:color w:val="auto"/>
          <w:sz w:val="24"/>
          <w:szCs w:val="24"/>
          <w:highlight w:val="none"/>
        </w:rPr>
        <w:t>健康</w:t>
      </w:r>
      <w:r>
        <w:rPr>
          <w:rFonts w:hint="eastAsia" w:ascii="宋体" w:hAnsi="宋体" w:eastAsia="宋体" w:cs="宋体"/>
          <w:b w:val="0"/>
          <w:color w:val="auto"/>
          <w:sz w:val="24"/>
          <w:szCs w:val="24"/>
          <w:highlight w:val="none"/>
          <w:lang w:val="en-US" w:eastAsia="zh-CN"/>
        </w:rPr>
        <w:t>知识</w:t>
      </w:r>
      <w:r>
        <w:rPr>
          <w:rFonts w:hint="eastAsia" w:ascii="宋体" w:hAnsi="宋体" w:eastAsia="宋体" w:cs="宋体"/>
          <w:b w:val="0"/>
          <w:color w:val="auto"/>
          <w:sz w:val="24"/>
          <w:szCs w:val="24"/>
          <w:highlight w:val="none"/>
        </w:rPr>
        <w:t>讲座</w:t>
      </w:r>
      <w:r>
        <w:rPr>
          <w:rFonts w:hint="eastAsia" w:ascii="宋体" w:hAnsi="宋体" w:eastAsia="宋体" w:cs="宋体"/>
          <w:b w:val="0"/>
          <w:color w:val="auto"/>
          <w:sz w:val="24"/>
          <w:szCs w:val="24"/>
          <w:highlight w:val="none"/>
          <w:lang w:val="en-US" w:eastAsia="zh-CN"/>
        </w:rPr>
        <w:t>和</w:t>
      </w:r>
      <w:r>
        <w:rPr>
          <w:rFonts w:hint="eastAsia" w:ascii="宋体" w:hAnsi="宋体" w:eastAsia="宋体" w:cs="宋体"/>
          <w:b w:val="0"/>
          <w:color w:val="auto"/>
          <w:sz w:val="24"/>
          <w:szCs w:val="24"/>
          <w:highlight w:val="none"/>
        </w:rPr>
        <w:t>体检结果解读</w:t>
      </w:r>
      <w:r>
        <w:rPr>
          <w:rFonts w:hint="eastAsia" w:ascii="宋体" w:hAnsi="宋体" w:eastAsia="宋体" w:cs="宋体"/>
          <w:b w:val="0"/>
          <w:color w:val="auto"/>
          <w:sz w:val="24"/>
          <w:szCs w:val="24"/>
          <w:highlight w:val="none"/>
          <w:lang w:val="en-US" w:eastAsia="zh-CN"/>
        </w:rPr>
        <w:t>，是否按照要求提供绿色通道，随机抽取3%的参检人员进行服务考核(考核内容就是个人服务工作验收是否合格，随机抽取的参检人员全部合格视为本小项合格)。</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整体验收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甲方在体检服务中约定人次和项目已完成或者体检服务期结束且接到乙方验收通知之日起7日历天内进行结束验收：</w:t>
      </w:r>
      <w:r>
        <w:rPr>
          <w:rFonts w:hint="eastAsia" w:ascii="宋体" w:hAnsi="宋体" w:eastAsia="宋体" w:cs="宋体"/>
          <w:b w:val="0"/>
          <w:color w:val="auto"/>
          <w:sz w:val="24"/>
          <w:szCs w:val="24"/>
          <w:highlight w:val="none"/>
          <w:lang w:val="en-US" w:eastAsia="zh-CN"/>
        </w:rPr>
        <w:t>①是否出具了体检报告；②是否开展体检结果解读与健康辅导工作；③</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随机抽取</w:t>
      </w:r>
      <w:r>
        <w:rPr>
          <w:rFonts w:hint="eastAsia" w:ascii="宋体" w:hAnsi="宋体" w:eastAsia="宋体" w:cs="宋体"/>
          <w:color w:val="auto"/>
          <w:sz w:val="24"/>
          <w:szCs w:val="24"/>
          <w:highlight w:val="none"/>
          <w:lang w:val="en-US" w:eastAsia="zh-CN"/>
        </w:rPr>
        <w:t>第二阶段后2</w:t>
      </w:r>
      <w:r>
        <w:rPr>
          <w:rFonts w:hint="eastAsia" w:ascii="宋体" w:hAnsi="宋体" w:eastAsia="宋体" w:cs="宋体"/>
          <w:color w:val="auto"/>
          <w:sz w:val="24"/>
          <w:szCs w:val="24"/>
          <w:highlight w:val="none"/>
        </w:rPr>
        <w:t>%的参检人员进行服务考核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考核内容就是个人服务工作验收是否合格，随机抽取的参检人员全部合格视为本小项合格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④最终体检人次</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6.验收的标准：按招标文件的质量要求和技术指标、供应商的</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rPr>
        <w:t>及承诺、合同约定标准对进行验收。</w:t>
      </w:r>
      <w:r>
        <w:rPr>
          <w:rFonts w:hint="eastAsia" w:ascii="宋体" w:hAnsi="宋体" w:eastAsia="宋体" w:cs="宋体"/>
          <w:snapToGrid/>
          <w:color w:val="auto"/>
          <w:sz w:val="24"/>
          <w:szCs w:val="24"/>
          <w:highlight w:val="none"/>
        </w:rPr>
        <w:t>其他未尽事宜应按照《财政部关于进一步加强政府采购需求和履约验收管理的指导意见》(财库〔2016〕205 号)的要求进行验收。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7.交付标准和方法：</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移交了体检报告</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sz w:val="24"/>
          <w:szCs w:val="24"/>
          <w:highlight w:val="none"/>
        </w:rPr>
        <w:t>单位健康状况分析报告并完成体检结果解读与健康辅导工作等工作且通</w:t>
      </w:r>
      <w:r>
        <w:rPr>
          <w:rFonts w:hint="eastAsia" w:ascii="宋体" w:hAnsi="宋体" w:eastAsia="宋体" w:cs="宋体"/>
          <w:color w:val="auto"/>
          <w:sz w:val="24"/>
          <w:szCs w:val="24"/>
          <w:highlight w:val="none"/>
          <w:lang w:val="en-US" w:eastAsia="zh-CN"/>
        </w:rPr>
        <w:t>最后的</w:t>
      </w:r>
      <w:r>
        <w:rPr>
          <w:rFonts w:hint="eastAsia" w:ascii="宋体" w:hAnsi="宋体" w:eastAsia="宋体" w:cs="宋体"/>
          <w:color w:val="auto"/>
          <w:sz w:val="24"/>
          <w:szCs w:val="24"/>
          <w:highlight w:val="none"/>
        </w:rPr>
        <w:t>服务验收视为</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履约完毕。</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b/>
          <w:bCs/>
          <w:color w:val="auto"/>
          <w:highlight w:val="none"/>
          <w:lang w:val="en-US" w:eastAsia="zh-CN"/>
        </w:rPr>
        <w:t>★</w:t>
      </w:r>
      <w:r>
        <w:rPr>
          <w:rFonts w:hint="eastAsia" w:ascii="宋体" w:hAnsi="宋体" w:eastAsia="宋体" w:cs="宋体"/>
          <w:b/>
          <w:bCs/>
          <w:color w:val="auto"/>
          <w:sz w:val="24"/>
          <w:szCs w:val="24"/>
          <w:highlight w:val="none"/>
        </w:rPr>
        <w:t>知识产权</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十一、合同的变更和终止</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除《政府采购法》第49条、第50条第二款规定的情形外，本合同一经签订，甲乙双方不得擅自变更、中止或终止合同。</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w:t>
      </w:r>
      <w:r>
        <w:rPr>
          <w:rFonts w:hint="eastAsia"/>
          <w:b/>
          <w:bCs/>
          <w:color w:val="auto"/>
          <w:highlight w:val="none"/>
          <w:lang w:val="en-US" w:eastAsia="zh-CN"/>
        </w:rPr>
        <w:t>★</w:t>
      </w:r>
      <w:r>
        <w:rPr>
          <w:rFonts w:hint="eastAsia" w:ascii="宋体" w:hAnsi="宋体" w:eastAsia="宋体" w:cs="宋体"/>
          <w:b/>
          <w:bCs/>
          <w:color w:val="auto"/>
          <w:sz w:val="24"/>
          <w:szCs w:val="24"/>
          <w:highlight w:val="none"/>
        </w:rPr>
        <w:t>合同的转让</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1.乙方不得部分或全部转让其应履行的合同义务；</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2.乙方不得分包。</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w:t>
      </w:r>
      <w:r>
        <w:rPr>
          <w:rFonts w:hint="eastAsia"/>
          <w:b/>
          <w:bCs/>
          <w:color w:val="auto"/>
          <w:highlight w:val="none"/>
          <w:lang w:val="en-US" w:eastAsia="zh-CN"/>
        </w:rPr>
        <w:t>★</w:t>
      </w:r>
      <w:r>
        <w:rPr>
          <w:rFonts w:hint="eastAsia" w:ascii="宋体" w:hAnsi="宋体" w:eastAsia="宋体" w:cs="宋体"/>
          <w:b/>
          <w:bCs/>
          <w:color w:val="auto"/>
          <w:sz w:val="24"/>
          <w:szCs w:val="24"/>
          <w:highlight w:val="none"/>
        </w:rPr>
        <w:t>解决争议的方法</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1.履约期间,若双方发生争议，双方应通过友好协商解决，经协商不能达成协议时，应提交甲方所在的人民法院裁决。除判决另有规定外，一切涉诉合理费用均由违约方承担。</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2.在诉讼期间，除正在进行诉讼的部分外，合同其他部分继续执行。</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w:t>
      </w:r>
      <w:r>
        <w:rPr>
          <w:rFonts w:hint="eastAsia"/>
          <w:b/>
          <w:bCs/>
          <w:color w:val="auto"/>
          <w:highlight w:val="none"/>
          <w:lang w:val="en-US" w:eastAsia="zh-CN"/>
        </w:rPr>
        <w:t>★</w:t>
      </w:r>
      <w:r>
        <w:rPr>
          <w:rFonts w:hint="eastAsia" w:ascii="宋体" w:hAnsi="宋体" w:eastAsia="宋体" w:cs="宋体"/>
          <w:b/>
          <w:bCs/>
          <w:color w:val="auto"/>
          <w:sz w:val="24"/>
          <w:szCs w:val="24"/>
          <w:highlight w:val="none"/>
        </w:rPr>
        <w:t>违约责任</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甲方违约责任</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val="en-US" w:eastAsia="zh-CN"/>
        </w:rPr>
        <w:t>故意</w:t>
      </w:r>
      <w:r>
        <w:rPr>
          <w:rFonts w:hint="eastAsia" w:ascii="宋体" w:hAnsi="宋体" w:eastAsia="宋体" w:cs="宋体"/>
          <w:color w:val="auto"/>
          <w:sz w:val="24"/>
          <w:szCs w:val="24"/>
          <w:highlight w:val="none"/>
        </w:rPr>
        <w:t>逾期支付服务款的，除应及时付足服务款外，应向乙方偿付欠款总额万分之五/天的违约金；逾期付款超过20日历天的，乙方有权终止合同；非甲方故意逾期付款的，甲方不承担任何逾期付款责任，乙方也不得终止合同。</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乙方违约责任</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乙方提供的服务(含体检内容、体检图文报告、营养早餐、现场咨询服务、健康讲座、体检结果解读与健康辅导、健康检查注意事项提示、提供预约挂号服务等)不符招标文件和投标文件规定的，乙方应在甲方规定的时间内整改，拒绝整改或者整改不到位的，视作乙方不能提供服务而违约，甲方有权解除合同，并要求乙方向甲方支付十万元人民币的违约金，甲方不再向乙方支付任何费用且不再退还履约保证金，甲方已支付的费用，乙方应按</w:t>
      </w:r>
      <w:r>
        <w:rPr>
          <w:rFonts w:hint="eastAsia" w:ascii="宋体" w:hAnsi="宋体" w:eastAsia="宋体" w:cs="宋体"/>
          <w:color w:val="auto"/>
          <w:sz w:val="24"/>
          <w:szCs w:val="24"/>
          <w:highlight w:val="none"/>
          <w:lang w:eastAsia="zh-CN"/>
        </w:rPr>
        <w:t>不合格部分以及</w:t>
      </w:r>
      <w:r>
        <w:rPr>
          <w:rFonts w:hint="eastAsia" w:ascii="宋体" w:hAnsi="宋体" w:eastAsia="宋体" w:cs="宋体"/>
          <w:color w:val="auto"/>
          <w:sz w:val="24"/>
          <w:szCs w:val="24"/>
          <w:highlight w:val="none"/>
        </w:rPr>
        <w:t>未提供服务的部分进行退还</w:t>
      </w:r>
      <w:r>
        <w:rPr>
          <w:rFonts w:hint="eastAsia" w:ascii="宋体" w:hAnsi="宋体" w:eastAsia="宋体" w:cs="宋体"/>
          <w:color w:val="auto"/>
          <w:sz w:val="24"/>
          <w:szCs w:val="24"/>
          <w:highlight w:val="none"/>
          <w:lang w:eastAsia="zh-CN"/>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2.若乙方提供虚假、作废发票或违反国家法律、法规开具或提供发票的，乙方自行承担全部法律责任，同时乙方还应向甲方支付五万元人民币违约金。</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3.乙方偿付的违约金不足以弥补甲方损失的，还应按甲方损失尚未弥补的部分。</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4.乙方因各种原因未完全按照甲方需求开展体检服务的，</w:t>
      </w:r>
      <w:r>
        <w:rPr>
          <w:rFonts w:hint="eastAsia" w:ascii="宋体" w:hAnsi="宋体" w:eastAsia="宋体" w:cs="宋体"/>
          <w:color w:val="auto"/>
          <w:sz w:val="24"/>
          <w:szCs w:val="24"/>
          <w:highlight w:val="none"/>
        </w:rPr>
        <w:t>应向甲方支付</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万元人民币的违约金</w:t>
      </w:r>
      <w:r>
        <w:rPr>
          <w:rFonts w:hint="eastAsia" w:ascii="宋体" w:hAnsi="宋体" w:eastAsia="宋体" w:cs="宋体"/>
          <w:color w:val="auto"/>
          <w:sz w:val="24"/>
          <w:szCs w:val="24"/>
          <w:highlight w:val="none"/>
          <w:lang w:eastAsia="zh-CN"/>
        </w:rPr>
        <w:t>并在</w:t>
      </w:r>
      <w:r>
        <w:rPr>
          <w:rFonts w:hint="eastAsia" w:ascii="宋体" w:hAnsi="宋体" w:eastAsia="宋体" w:cs="宋体"/>
          <w:color w:val="auto"/>
          <w:sz w:val="24"/>
          <w:szCs w:val="24"/>
          <w:highlight w:val="none"/>
          <w:lang w:val="en-US" w:eastAsia="zh-CN"/>
        </w:rPr>
        <w:t>5个工作日内完成本合同约定的全部服务工作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若乙方拒绝履行或履行不到位</w:t>
      </w:r>
      <w:r>
        <w:rPr>
          <w:rFonts w:hint="eastAsia" w:ascii="宋体" w:hAnsi="宋体" w:eastAsia="宋体" w:cs="宋体"/>
          <w:color w:val="auto"/>
          <w:sz w:val="24"/>
          <w:szCs w:val="24"/>
          <w:highlight w:val="none"/>
        </w:rPr>
        <w:t>，视作乙方不能提供服务而违约，</w:t>
      </w:r>
      <w:r>
        <w:rPr>
          <w:rFonts w:hint="eastAsia" w:ascii="宋体" w:hAnsi="宋体" w:eastAsia="宋体" w:cs="宋体"/>
          <w:color w:val="auto"/>
          <w:sz w:val="24"/>
          <w:szCs w:val="24"/>
          <w:highlight w:val="none"/>
          <w:lang w:eastAsia="zh-CN"/>
        </w:rPr>
        <w:t>甲方有权解除合同，并要求乙方</w:t>
      </w:r>
      <w:r>
        <w:rPr>
          <w:rFonts w:hint="eastAsia" w:ascii="宋体" w:hAnsi="宋体" w:eastAsia="宋体" w:cs="宋体"/>
          <w:color w:val="auto"/>
          <w:sz w:val="24"/>
          <w:szCs w:val="24"/>
          <w:highlight w:val="none"/>
        </w:rPr>
        <w:t>向甲方支付十万元人民币的违约金</w:t>
      </w:r>
      <w:r>
        <w:rPr>
          <w:rFonts w:hint="eastAsia" w:ascii="宋体" w:hAnsi="宋体" w:eastAsia="宋体" w:cs="宋体"/>
          <w:color w:val="auto"/>
          <w:sz w:val="24"/>
          <w:szCs w:val="24"/>
          <w:highlight w:val="none"/>
          <w:lang w:eastAsia="zh-CN"/>
        </w:rPr>
        <w:t>，甲方不再向乙方支付任何费用且不再退还履约保证金，甲方已支付的费用，乙方应按未提供服务的部分进行退还。</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由于项目的特殊性，</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负有保密义务，若乙方违反保密义务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应向甲方支付十万元人民币的违约金</w:t>
      </w:r>
      <w:r>
        <w:rPr>
          <w:rFonts w:hint="eastAsia" w:ascii="宋体" w:hAnsi="宋体" w:eastAsia="宋体" w:cs="宋体"/>
          <w:color w:val="auto"/>
          <w:sz w:val="24"/>
          <w:szCs w:val="24"/>
          <w:highlight w:val="none"/>
          <w:lang w:eastAsia="zh-CN"/>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6.乙方支付的违约金不足以弥补因违约给甲方造成的损失的，对超出违约金部分的损失，甲方有权要求乙方补足。</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五</w:t>
      </w:r>
      <w:r>
        <w:rPr>
          <w:rFonts w:hint="eastAsia" w:ascii="宋体" w:hAnsi="宋体" w:eastAsia="宋体" w:cs="宋体"/>
          <w:b/>
          <w:bCs/>
          <w:color w:val="auto"/>
          <w:sz w:val="24"/>
          <w:szCs w:val="24"/>
          <w:highlight w:val="none"/>
        </w:rPr>
        <w:t xml:space="preserve">、组成本合同的有关文件 </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下列关于成都市技师学院2022年教职工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含离退休职工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体检服务采购项目(项目编号：XXXX)的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文件、乙方的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文件或与本次采购活动方式相适应的文件及有关附件是本合同不可分割的组成部分，与本合同具有同等法律效力，这些文件包括但不限于：</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4.本合同列出的附件。</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、其他</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1.乙方制定的体检服务方案、治疗服务方案、质控保障方案详见乙方</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2.本合同经双方法定代表人或授权委托代理人签字并加盖</w:t>
      </w:r>
      <w:r>
        <w:rPr>
          <w:rFonts w:hint="eastAsia" w:ascii="宋体" w:hAnsi="宋体" w:eastAsia="宋体" w:cs="宋体"/>
          <w:color w:val="auto"/>
          <w:sz w:val="24"/>
          <w:szCs w:val="24"/>
          <w:highlight w:val="none"/>
          <w:lang w:val="en-US" w:eastAsia="zh-CN"/>
        </w:rPr>
        <w:t>单位公</w:t>
      </w:r>
      <w:r>
        <w:rPr>
          <w:rFonts w:hint="eastAsia" w:ascii="宋体" w:hAnsi="宋体" w:eastAsia="宋体" w:cs="宋体"/>
          <w:color w:val="auto"/>
          <w:sz w:val="24"/>
          <w:szCs w:val="24"/>
          <w:highlight w:val="none"/>
        </w:rPr>
        <w:t>章后生效。</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3.如有未尽事宜，由双方依法订立补充合同。</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4.本合同一式捌份，甲方陆份，乙方贰份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就有同等法律效力</w:t>
      </w:r>
      <w:r>
        <w:rPr>
          <w:rFonts w:hint="eastAsia" w:ascii="宋体" w:hAnsi="宋体" w:eastAsia="宋体" w:cs="宋体"/>
          <w:color w:val="auto"/>
          <w:sz w:val="24"/>
          <w:szCs w:val="24"/>
          <w:highlight w:val="none"/>
        </w:rPr>
        <w:t>。</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5.如本合同与甲方的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文件、乙方的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文件不一致时，以甲方的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文件、乙方的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文件为准。</w:t>
      </w:r>
    </w:p>
    <w:p>
      <w:pPr>
        <w:keepNext w:val="0"/>
        <w:keepLines w:val="0"/>
        <w:pageBreakBefore w:val="0"/>
        <w:widowControl w:val="0"/>
        <w:kinsoku/>
        <w:overflowPunct/>
        <w:autoSpaceDN/>
        <w:bidi w:val="0"/>
        <w:adjustRightInd w:val="0"/>
        <w:snapToGrid w:val="0"/>
        <w:spacing w:line="440" w:lineRule="exact"/>
        <w:ind w:firstLine="480" w:firstLineChars="200"/>
        <w:textAlignment w:val="auto"/>
        <w:outlineLvl w:val="9"/>
        <w:rPr>
          <w:rFonts w:hint="eastAsia" w:ascii="宋体" w:hAnsi="宋体" w:eastAsia="宋体" w:cs="宋体"/>
          <w:b w:val="0"/>
          <w:bCs/>
          <w:snapToGrid/>
          <w:color w:val="auto"/>
          <w:kern w:val="2"/>
          <w:sz w:val="24"/>
          <w:szCs w:val="24"/>
          <w:highlight w:val="none"/>
          <w:lang w:val="en-US" w:eastAsia="zh-CN" w:bidi="ar"/>
        </w:rPr>
      </w:pPr>
      <w:r>
        <w:rPr>
          <w:rFonts w:hint="eastAsia" w:ascii="宋体" w:hAnsi="宋体" w:eastAsia="宋体" w:cs="宋体"/>
          <w:color w:val="auto"/>
          <w:sz w:val="24"/>
          <w:szCs w:val="24"/>
          <w:highlight w:val="none"/>
        </w:rPr>
        <w:t>6.本合同应按照中华人民共和国的现行法律进行解释</w:t>
      </w:r>
      <w:r>
        <w:rPr>
          <w:rFonts w:hint="eastAsia" w:ascii="宋体" w:hAnsi="宋体" w:eastAsia="宋体" w:cs="宋体"/>
          <w:b w:val="0"/>
          <w:bCs/>
          <w:snapToGrid/>
          <w:color w:val="auto"/>
          <w:kern w:val="2"/>
          <w:sz w:val="24"/>
          <w:szCs w:val="24"/>
          <w:highlight w:val="none"/>
          <w:lang w:val="en-US" w:eastAsia="zh-CN" w:bidi="ar"/>
        </w:rPr>
        <w:t>。</w:t>
      </w:r>
    </w:p>
    <w:p>
      <w:pPr>
        <w:keepNext w:val="0"/>
        <w:keepLines w:val="0"/>
        <w:pageBreakBefore w:val="0"/>
        <w:widowControl w:val="0"/>
        <w:kinsoku/>
        <w:overflowPunct/>
        <w:autoSpaceDN/>
        <w:bidi w:val="0"/>
        <w:adjustRightInd w:val="0"/>
        <w:snapToGrid w:val="0"/>
        <w:spacing w:line="440" w:lineRule="exact"/>
        <w:ind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(本页无正文)</w:t>
      </w:r>
    </w:p>
    <w:tbl>
      <w:tblPr>
        <w:tblStyle w:val="20"/>
        <w:tblW w:w="9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0"/>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c>
          <w:tcPr>
            <w:tcW w:w="4820"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r>
    </w:tbl>
    <w:p>
      <w:pPr>
        <w:pStyle w:val="26"/>
        <w:bidi w:val="0"/>
        <w:rPr>
          <w:rFonts w:hint="eastAsia"/>
          <w:color w:val="auto"/>
          <w:highlight w:val="none"/>
        </w:rPr>
      </w:pPr>
      <w:r>
        <w:rPr>
          <w:rFonts w:hint="eastAsia"/>
          <w:color w:val="auto"/>
          <w:highlight w:val="none"/>
        </w:rPr>
        <w:br w:type="page"/>
      </w:r>
    </w:p>
    <w:p>
      <w:pPr>
        <w:pStyle w:val="25"/>
        <w:numPr>
          <w:ilvl w:val="0"/>
          <w:numId w:val="12"/>
        </w:numPr>
        <w:bidi w:val="0"/>
        <w:rPr>
          <w:rFonts w:hint="eastAsia"/>
          <w:color w:val="auto"/>
          <w:highlight w:val="none"/>
          <w:lang w:val="en-US" w:eastAsia="zh-CN"/>
        </w:rPr>
      </w:pPr>
      <w:bookmarkStart w:id="1211" w:name="_Toc28848"/>
      <w:bookmarkStart w:id="1212" w:name="_Toc7100"/>
      <w:r>
        <w:rPr>
          <w:rFonts w:hint="eastAsia"/>
          <w:color w:val="auto"/>
          <w:highlight w:val="none"/>
          <w:lang w:val="en-US" w:eastAsia="zh-CN"/>
        </w:rPr>
        <w:t>附件</w:t>
      </w:r>
      <w:bookmarkEnd w:id="1211"/>
      <w:bookmarkEnd w:id="1212"/>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ascii="宋体" w:hAnsi="宋体" w:eastAsia="宋体" w:cs="宋体"/>
          <w:b/>
          <w:bCs/>
          <w:color w:val="auto"/>
          <w:sz w:val="24"/>
          <w:szCs w:val="24"/>
          <w:highlight w:val="none"/>
          <w:lang w:val="en-US" w:eastAsia="zh-CN"/>
        </w:rPr>
      </w:pPr>
      <w:bookmarkStart w:id="1213" w:name="_Toc15022"/>
      <w:bookmarkStart w:id="1214" w:name="_Toc5277"/>
      <w:r>
        <w:rPr>
          <w:rFonts w:hint="eastAsia" w:ascii="宋体" w:hAnsi="宋体" w:eastAsia="宋体" w:cs="宋体"/>
          <w:b/>
          <w:bCs/>
          <w:color w:val="auto"/>
          <w:sz w:val="24"/>
          <w:szCs w:val="24"/>
          <w:highlight w:val="none"/>
          <w:lang w:val="en-US" w:eastAsia="zh-CN"/>
        </w:rPr>
        <w:t>附件一：《2022年度信用评价服务效果调查表(供应商)》</w:t>
      </w:r>
      <w:bookmarkEnd w:id="1213"/>
      <w:bookmarkEnd w:id="1214"/>
    </w:p>
    <w:p>
      <w:pPr>
        <w:pStyle w:val="26"/>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2022年度信用评价服务效果调查表(供应商)</w:t>
      </w:r>
    </w:p>
    <w:p>
      <w:pPr>
        <w:pStyle w:val="26"/>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26"/>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48"/>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48"/>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48"/>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lang w:val="en-US" w:eastAsia="zh-CN"/>
              </w:rPr>
            </w:pPr>
            <w:r>
              <w:rPr>
                <w:rFonts w:hint="eastAsia"/>
                <w:b/>
                <w:bCs/>
                <w:color w:val="auto"/>
                <w:highlight w:val="none"/>
                <w:lang w:val="en-US" w:eastAsia="zh-CN"/>
              </w:rPr>
              <w:t>不满意</w:t>
            </w:r>
          </w:p>
          <w:p>
            <w:pPr>
              <w:pStyle w:val="48"/>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r>
              <w:rPr>
                <w:rFonts w:hint="eastAsia"/>
                <w:b/>
                <w:bCs/>
                <w:color w:val="auto"/>
                <w:highlight w:val="none"/>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5"/>
              <w:bidi w:val="0"/>
              <w:jc w:val="right"/>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(加盖公章)</w:t>
            </w:r>
          </w:p>
        </w:tc>
      </w:tr>
    </w:tbl>
    <w:p>
      <w:pPr>
        <w:pStyle w:val="49"/>
        <w:bidi w:val="0"/>
        <w:rPr>
          <w:rFonts w:hint="eastAsia"/>
          <w:color w:val="auto"/>
          <w:highlight w:val="none"/>
          <w:lang w:val="en-US" w:eastAsia="zh-CN"/>
        </w:rPr>
      </w:pPr>
      <w:r>
        <w:rPr>
          <w:rFonts w:hint="eastAsia"/>
          <w:color w:val="auto"/>
          <w:highlight w:val="none"/>
          <w:lang w:val="en-US" w:eastAsia="zh-CN"/>
        </w:rPr>
        <w:t>说明：请贵公司根据政府采购代理机构2022年度政府采购项目的实际情况，在“满意”、“基本满意”、“一般”、“不满意”四个评价档次栏中选取一栏打“√”，并加盖公章。</w:t>
      </w:r>
    </w:p>
    <w:p>
      <w:pPr>
        <w:rPr>
          <w:rFonts w:hint="eastAsia"/>
          <w:color w:val="auto"/>
          <w:highlight w:val="none"/>
          <w:lang w:val="en-US" w:eastAsia="zh-CN"/>
        </w:rPr>
      </w:pPr>
      <w:r>
        <w:rPr>
          <w:rFonts w:hint="eastAsia"/>
          <w:color w:val="auto"/>
          <w:highlight w:val="none"/>
          <w:lang w:val="en-US" w:eastAsia="zh-CN"/>
        </w:rPr>
        <w:br w:type="page"/>
      </w:r>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cs="宋体"/>
          <w:b/>
          <w:bCs/>
          <w:color w:val="auto"/>
          <w:sz w:val="24"/>
          <w:szCs w:val="24"/>
          <w:highlight w:val="none"/>
          <w:lang w:val="en-US" w:eastAsia="zh-CN"/>
        </w:rPr>
      </w:pPr>
      <w:bookmarkStart w:id="1215" w:name="_Toc6520"/>
      <w:bookmarkStart w:id="1216" w:name="_Toc17674"/>
      <w:r>
        <w:rPr>
          <w:rFonts w:hint="eastAsia" w:ascii="宋体" w:hAnsi="宋体" w:eastAsia="宋体" w:cs="宋体"/>
          <w:b/>
          <w:bCs/>
          <w:color w:val="auto"/>
          <w:sz w:val="24"/>
          <w:szCs w:val="24"/>
          <w:highlight w:val="none"/>
          <w:lang w:val="en-US" w:eastAsia="zh-CN"/>
        </w:rPr>
        <w:t>附件二</w:t>
      </w:r>
      <w:r>
        <w:rPr>
          <w:rFonts w:hint="eastAsia" w:cs="宋体"/>
          <w:b/>
          <w:bCs/>
          <w:color w:val="auto"/>
          <w:sz w:val="24"/>
          <w:szCs w:val="24"/>
          <w:highlight w:val="none"/>
          <w:lang w:val="en-US" w:eastAsia="zh-CN"/>
        </w:rPr>
        <w:t>： 统计上大中小微型企业划分标准</w:t>
      </w:r>
      <w:bookmarkEnd w:id="1215"/>
      <w:bookmarkEnd w:id="1216"/>
    </w:p>
    <w:p>
      <w:pPr>
        <w:widowControl/>
        <w:spacing w:line="330" w:lineRule="atLeast"/>
        <w:jc w:val="center"/>
        <w:rPr>
          <w:rFonts w:hint="eastAsia" w:ascii="宋体" w:hAnsi="宋体" w:eastAsia="宋体" w:cs="宋体"/>
          <w:color w:val="auto"/>
          <w:kern w:val="0"/>
          <w:sz w:val="32"/>
          <w:szCs w:val="32"/>
          <w:highlight w:val="none"/>
        </w:rPr>
      </w:pPr>
    </w:p>
    <w:p>
      <w:pPr>
        <w:widowControl/>
        <w:spacing w:line="330" w:lineRule="atLeast"/>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统计上大中小微型企业划分标准</w:t>
      </w:r>
    </w:p>
    <w:tbl>
      <w:tblPr>
        <w:tblStyle w:val="19"/>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513"/>
        <w:gridCol w:w="910"/>
        <w:gridCol w:w="1188"/>
        <w:gridCol w:w="1799"/>
        <w:gridCol w:w="150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行业名称</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default" w:ascii="宋体" w:hAnsi="宋体" w:eastAsia="宋体" w:cs="宋体"/>
                <w:b/>
                <w:bCs/>
                <w:color w:val="auto"/>
                <w:kern w:val="0"/>
                <w:sz w:val="18"/>
                <w:szCs w:val="18"/>
                <w:highlight w:val="none"/>
                <w:lang w:val="en-US"/>
              </w:rPr>
            </w:pPr>
            <w:r>
              <w:rPr>
                <w:rFonts w:hint="eastAsia" w:ascii="宋体" w:hAnsi="宋体" w:eastAsia="宋体" w:cs="宋体"/>
                <w:b/>
                <w:bCs/>
                <w:color w:val="auto"/>
                <w:kern w:val="0"/>
                <w:sz w:val="18"/>
                <w:szCs w:val="18"/>
                <w:highlight w:val="none"/>
              </w:rPr>
              <w:t>计量</w:t>
            </w:r>
          </w:p>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50≤Y＜500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300≤Y＜6000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300≤Z＜5000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5≤X＜20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100≤Y＜500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200≤Y＜3000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1000≤Y＜100000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spacing w:val="-12"/>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1000≤Y＜200000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2000≤Z＜5000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1000≤Y＜5000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8000≤Z＜120000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100≤Z＜8000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exac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r>
        <w:rPr>
          <w:rFonts w:hint="eastAsia" w:ascii="宋体" w:hAnsi="宋体" w:eastAsia="宋体" w:cs="宋体"/>
          <w:b/>
          <w:bCs/>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b/>
          <w:bCs/>
          <w:color w:val="auto"/>
          <w:highlight w:val="none"/>
          <w:lang w:val="en-US" w:eastAsia="zh-CN"/>
        </w:rPr>
      </w:pPr>
      <w:bookmarkStart w:id="1217" w:name="_Toc7114"/>
      <w:bookmarkStart w:id="1218" w:name="_Toc14513"/>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w:t>
      </w:r>
      <w:r>
        <w:rPr>
          <w:rFonts w:hint="eastAsia"/>
          <w:b/>
          <w:bCs/>
          <w:color w:val="auto"/>
          <w:highlight w:val="none"/>
          <w:lang w:val="en-US" w:eastAsia="zh-CN"/>
        </w:rPr>
        <w:t>《四川省财政厅关于推进四川省政府采购供应商信用融资工作的通知》(川财采〔2018〕123号文)</w:t>
      </w:r>
      <w:bookmarkEnd w:id="1217"/>
      <w:bookmarkEnd w:id="1218"/>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highlight w:val="none"/>
          <w:lang w:val="en-US" w:eastAsia="zh-CN"/>
        </w:rPr>
      </w:pPr>
      <w:r>
        <w:rPr>
          <w:rFonts w:hint="eastAsia"/>
          <w:b/>
          <w:bCs/>
          <w:color w:val="auto"/>
          <w:highlight w:val="none"/>
          <w:lang w:val="en-US" w:eastAsia="zh-CN"/>
        </w:rPr>
        <w:t>查询链接：</w:t>
      </w:r>
      <w:r>
        <w:rPr>
          <w:rFonts w:hint="eastAsia" w:ascii="宋体" w:hAnsi="宋体" w:eastAsia="宋体" w:cs="宋体"/>
          <w:b/>
          <w:bCs/>
          <w:i w:val="0"/>
          <w:caps w:val="0"/>
          <w:color w:val="auto"/>
          <w:spacing w:val="0"/>
          <w:sz w:val="24"/>
          <w:szCs w:val="24"/>
          <w:highlight w:val="none"/>
          <w:lang w:val="en-US" w:eastAsia="zh-CN"/>
        </w:rPr>
        <w:t>http</w:t>
      </w:r>
      <w:r>
        <w:rPr>
          <w:rFonts w:hint="eastAsia" w:cs="宋体"/>
          <w:b/>
          <w:bCs/>
          <w:i w:val="0"/>
          <w:caps w:val="0"/>
          <w:color w:val="auto"/>
          <w:spacing w:val="0"/>
          <w:sz w:val="24"/>
          <w:szCs w:val="24"/>
          <w:highlight w:val="none"/>
          <w:lang w:val="en-US" w:eastAsia="zh-CN"/>
        </w:rPr>
        <w:t>：</w:t>
      </w:r>
      <w:r>
        <w:rPr>
          <w:rFonts w:hint="eastAsia" w:ascii="宋体" w:hAnsi="宋体" w:eastAsia="宋体" w:cs="宋体"/>
          <w:b/>
          <w:bCs/>
          <w:i w:val="0"/>
          <w:caps w:val="0"/>
          <w:color w:val="auto"/>
          <w:spacing w:val="0"/>
          <w:sz w:val="24"/>
          <w:szCs w:val="24"/>
          <w:highlight w:val="none"/>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3"/>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州</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、扩权县</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市</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川府发〔2018〕14号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政府采购供应商信用融资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以下简称“政采贷”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1、征集。</w:t>
      </w:r>
      <w:r>
        <w:rPr>
          <w:rFonts w:hint="eastAsia" w:ascii="宋体" w:hAnsi="宋体" w:eastAsia="宋体" w:cs="宋体"/>
          <w:b w:val="0"/>
          <w:i w:val="0"/>
          <w:caps w:val="0"/>
          <w:color w:val="auto"/>
          <w:spacing w:val="0"/>
          <w:sz w:val="24"/>
          <w:szCs w:val="24"/>
          <w:highlight w:val="none"/>
        </w:rPr>
        <w:t>在四川省行政区域内，有意向开展“政采贷”工作的银行，可以于2018年12月21日前，直接向四川省财政厅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2、公示。</w:t>
      </w:r>
      <w:r>
        <w:rPr>
          <w:rFonts w:hint="eastAsia" w:ascii="宋体" w:hAnsi="宋体" w:eastAsia="宋体" w:cs="宋体"/>
          <w:b w:val="0"/>
          <w:i w:val="0"/>
          <w:caps w:val="0"/>
          <w:color w:val="auto"/>
          <w:spacing w:val="0"/>
          <w:sz w:val="24"/>
          <w:szCs w:val="24"/>
          <w:highlight w:val="none"/>
        </w:rPr>
        <w:t>四川省财政厅收到银行提交的书面申请后，对满足本通知要求的银行及其“政采贷”产品具体信息，及时在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1、</w:t>
      </w:r>
      <w:r>
        <w:rPr>
          <w:rFonts w:hint="eastAsia" w:ascii="宋体" w:hAnsi="宋体" w:eastAsia="宋体" w:cs="宋体"/>
          <w:b w:val="0"/>
          <w:i w:val="0"/>
          <w:caps w:val="0"/>
          <w:color w:val="auto"/>
          <w:spacing w:val="0"/>
          <w:sz w:val="24"/>
          <w:szCs w:val="24"/>
          <w:highlight w:val="none"/>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2、</w:t>
      </w:r>
      <w:r>
        <w:rPr>
          <w:rFonts w:hint="eastAsia" w:ascii="宋体" w:hAnsi="宋体" w:eastAsia="宋体" w:cs="宋体"/>
          <w:b w:val="0"/>
          <w:i w:val="0"/>
          <w:caps w:val="0"/>
          <w:color w:val="auto"/>
          <w:spacing w:val="0"/>
          <w:sz w:val="24"/>
          <w:szCs w:val="24"/>
          <w:highlight w:val="none"/>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3、</w:t>
      </w:r>
      <w:r>
        <w:rPr>
          <w:rFonts w:hint="eastAsia" w:ascii="宋体" w:hAnsi="宋体" w:eastAsia="宋体" w:cs="宋体"/>
          <w:b w:val="0"/>
          <w:i w:val="0"/>
          <w:caps w:val="0"/>
          <w:color w:val="auto"/>
          <w:spacing w:val="0"/>
          <w:sz w:val="24"/>
          <w:szCs w:val="24"/>
          <w:highlight w:val="none"/>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4、</w:t>
      </w:r>
      <w:r>
        <w:rPr>
          <w:rFonts w:hint="eastAsia" w:ascii="宋体" w:hAnsi="宋体" w:eastAsia="宋体" w:cs="宋体"/>
          <w:b w:val="0"/>
          <w:i w:val="0"/>
          <w:caps w:val="0"/>
          <w:color w:val="auto"/>
          <w:spacing w:val="0"/>
          <w:sz w:val="24"/>
          <w:szCs w:val="24"/>
          <w:highlight w:val="none"/>
        </w:rPr>
        <w:t>无《政府采购法》第二十二条第一款第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五</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5、</w:t>
      </w:r>
      <w:r>
        <w:rPr>
          <w:rFonts w:hint="eastAsia" w:ascii="宋体" w:hAnsi="宋体" w:eastAsia="宋体" w:cs="宋体"/>
          <w:b w:val="0"/>
          <w:i w:val="0"/>
          <w:caps w:val="0"/>
          <w:color w:val="auto"/>
          <w:spacing w:val="0"/>
          <w:sz w:val="24"/>
          <w:szCs w:val="24"/>
          <w:highlight w:val="none"/>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6、</w:t>
      </w:r>
      <w:r>
        <w:rPr>
          <w:rFonts w:hint="eastAsia" w:ascii="宋体" w:hAnsi="宋体" w:eastAsia="宋体" w:cs="宋体"/>
          <w:b w:val="0"/>
          <w:i w:val="0"/>
          <w:caps w:val="0"/>
          <w:color w:val="auto"/>
          <w:spacing w:val="0"/>
          <w:sz w:val="24"/>
          <w:szCs w:val="24"/>
          <w:highlight w:val="none"/>
        </w:rPr>
        <w:t>在一定期限内的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银行可以具体确定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i w:val="0"/>
          <w:caps w:val="0"/>
          <w:color w:val="auto"/>
          <w:spacing w:val="0"/>
          <w:sz w:val="24"/>
          <w:szCs w:val="24"/>
          <w:highlight w:val="none"/>
        </w:rPr>
        <w:t>7、</w:t>
      </w:r>
      <w:r>
        <w:rPr>
          <w:rFonts w:hint="eastAsia" w:ascii="宋体" w:hAnsi="宋体" w:eastAsia="宋体" w:cs="宋体"/>
          <w:b w:val="0"/>
          <w:i w:val="0"/>
          <w:caps w:val="0"/>
          <w:color w:val="auto"/>
          <w:spacing w:val="0"/>
          <w:sz w:val="24"/>
          <w:szCs w:val="24"/>
          <w:highlight w:val="none"/>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四川省财政厅将在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各级财政部门应当按照《四川省政府采购促进中小企业发展的若干规定》</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川财采[2016]35号</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有融资需求的供应商可根据</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公示的银行及其“政采贷”产品，自行选择符合自身情况的“政采贷”银行及其产品，凭中标</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成交</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供应商与采购人在法定时间依法签订政府采购合同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政府采购合同签订后，应当依法在7个工作日内向同级财政部门备案，2个工作日内在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银行完成放款后，应当通过四川省“政采贷”信息化服务平台，填写《四川省“政采贷”信息统计表》</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详见附件</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，每季度终了5个工作日内，向四川省财政厅</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政府采购监督管理处</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四</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五</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六</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七</w:t>
      </w:r>
      <w:r>
        <w:rPr>
          <w:rFonts w:hint="eastAsia" w:cs="宋体"/>
          <w:b/>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一</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银行不按照其在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二</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二</w:t>
      </w:r>
      <w:r>
        <w:rPr>
          <w:rFonts w:hint="eastAsia" w:cs="宋体"/>
          <w:b w:val="0"/>
          <w:i w:val="0"/>
          <w:caps w:val="0"/>
          <w:color w:val="auto"/>
          <w:spacing w:val="0"/>
          <w:sz w:val="24"/>
          <w:szCs w:val="24"/>
          <w:highlight w:val="none"/>
          <w:lang w:eastAsia="zh-CN"/>
        </w:rPr>
        <w:t>)</w:t>
      </w:r>
      <w:r>
        <w:rPr>
          <w:rFonts w:hint="eastAsia" w:ascii="宋体" w:hAnsi="宋体" w:eastAsia="宋体" w:cs="宋体"/>
          <w:b w:val="0"/>
          <w:i w:val="0"/>
          <w:caps w:val="0"/>
          <w:color w:val="auto"/>
          <w:spacing w:val="0"/>
          <w:sz w:val="24"/>
          <w:szCs w:val="24"/>
          <w:highlight w:val="none"/>
        </w:rPr>
        <w:t>项规定的具有良好的商业信誉条件”名单，并在</w:t>
      </w:r>
      <w:r>
        <w:rPr>
          <w:rFonts w:hint="eastAsia" w:cs="宋体"/>
          <w:b w:val="0"/>
          <w:i w:val="0"/>
          <w:caps w:val="0"/>
          <w:color w:val="auto"/>
          <w:spacing w:val="0"/>
          <w:sz w:val="24"/>
          <w:szCs w:val="24"/>
          <w:highlight w:val="none"/>
          <w:lang w:eastAsia="zh-CN"/>
        </w:rPr>
        <w:t>“四川政府采购网”</w:t>
      </w:r>
      <w:r>
        <w:rPr>
          <w:rFonts w:hint="eastAsia" w:ascii="宋体" w:hAnsi="宋体" w:eastAsia="宋体" w:cs="宋体"/>
          <w:b w:val="0"/>
          <w:i w:val="0"/>
          <w:caps w:val="0"/>
          <w:color w:val="auto"/>
          <w:spacing w:val="0"/>
          <w:sz w:val="24"/>
          <w:szCs w:val="24"/>
          <w:highlight w:val="none"/>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highlight w:val="none"/>
        </w:rPr>
      </w:pP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三</w:t>
      </w:r>
      <w:r>
        <w:rPr>
          <w:rFonts w:hint="eastAsia" w:cs="宋体"/>
          <w:b/>
          <w:i w:val="0"/>
          <w:caps w:val="0"/>
          <w:color w:val="auto"/>
          <w:spacing w:val="0"/>
          <w:sz w:val="24"/>
          <w:szCs w:val="24"/>
          <w:highlight w:val="none"/>
          <w:lang w:eastAsia="zh-CN"/>
        </w:rPr>
        <w:t>)</w:t>
      </w:r>
      <w:r>
        <w:rPr>
          <w:rFonts w:hint="eastAsia" w:ascii="宋体" w:hAnsi="宋体" w:eastAsia="宋体" w:cs="宋体"/>
          <w:b/>
          <w:i w:val="0"/>
          <w:caps w:val="0"/>
          <w:color w:val="auto"/>
          <w:spacing w:val="0"/>
          <w:sz w:val="24"/>
          <w:szCs w:val="24"/>
          <w:highlight w:val="none"/>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highlight w:val="none"/>
        </w:rPr>
      </w:pPr>
      <w:r>
        <w:rPr>
          <w:rFonts w:hint="eastAsia" w:ascii="宋体" w:hAnsi="宋体" w:eastAsia="宋体" w:cs="宋体"/>
          <w:color w:val="auto"/>
          <w:kern w:val="0"/>
          <w:sz w:val="24"/>
          <w:szCs w:val="24"/>
          <w:highlight w:val="none"/>
          <w:lang w:val="en-US" w:eastAsia="zh-CN" w:bidi="ar"/>
        </w:rPr>
        <w:drawing>
          <wp:anchor distT="0" distB="0" distL="114300" distR="114300" simplePos="0" relativeHeight="251662336" behindDoc="0" locked="0" layoutInCell="1" allowOverlap="1">
            <wp:simplePos x="0" y="0"/>
            <wp:positionH relativeFrom="column">
              <wp:posOffset>3467100</wp:posOffset>
            </wp:positionH>
            <wp:positionV relativeFrom="paragraph">
              <wp:posOffset>143510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4"/>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b w:val="0"/>
          <w:i w:val="0"/>
          <w:caps w:val="0"/>
          <w:color w:val="auto"/>
          <w:spacing w:val="0"/>
          <w:sz w:val="24"/>
          <w:szCs w:val="24"/>
          <w:highlight w:val="none"/>
        </w:rPr>
        <w:t> </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outlineLvl w:val="2"/>
        <w:rPr>
          <w:rFonts w:hint="eastAsia" w:ascii="宋体" w:hAnsi="宋体" w:eastAsia="宋体" w:cs="宋体"/>
          <w:b/>
          <w:bCs/>
          <w:color w:val="auto"/>
          <w:sz w:val="24"/>
          <w:szCs w:val="24"/>
          <w:highlight w:val="none"/>
          <w:lang w:val="en-US" w:eastAsia="zh-CN"/>
        </w:rPr>
      </w:pPr>
      <w:bookmarkStart w:id="1219" w:name="_Toc29633"/>
      <w:bookmarkStart w:id="1220" w:name="_Toc3034"/>
      <w:r>
        <w:rPr>
          <w:rFonts w:hint="eastAsia" w:ascii="宋体" w:hAnsi="宋体" w:eastAsia="宋体" w:cs="宋体"/>
          <w:b/>
          <w:bCs/>
          <w:color w:val="auto"/>
          <w:sz w:val="24"/>
          <w:szCs w:val="24"/>
          <w:highlight w:val="none"/>
          <w:lang w:val="en-US" w:eastAsia="zh-CN"/>
        </w:rPr>
        <w:t>附件</w:t>
      </w:r>
      <w:r>
        <w:rPr>
          <w:rFonts w:hint="eastAsia"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成财采〔2019〕17号</w:t>
      </w:r>
      <w:r>
        <w:rPr>
          <w:rFonts w:hint="eastAsia" w:cs="宋体"/>
          <w:b/>
          <w:bCs/>
          <w:color w:val="auto"/>
          <w:sz w:val="24"/>
          <w:szCs w:val="24"/>
          <w:highlight w:val="none"/>
          <w:lang w:val="en-US" w:eastAsia="zh-CN"/>
        </w:rPr>
        <w:t>)</w:t>
      </w:r>
      <w:bookmarkEnd w:id="1219"/>
      <w:bookmarkEnd w:id="1220"/>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查询链接：</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"http://cdcz.chengdu.gov.cn/cdsczj/c116726/2019-03/13/content_7d81ae9c2a1e48968c7839a9c5b88ccd.shtml" </w:instrText>
      </w:r>
      <w:r>
        <w:rPr>
          <w:rFonts w:hint="eastAsia" w:ascii="宋体" w:hAnsi="宋体" w:eastAsia="宋体" w:cs="宋体"/>
          <w:b/>
          <w:bCs/>
          <w:color w:val="auto"/>
          <w:sz w:val="24"/>
          <w:szCs w:val="24"/>
          <w:highlight w:val="none"/>
          <w:lang w:val="en-US" w:eastAsia="zh-CN"/>
        </w:rPr>
        <w:fldChar w:fldCharType="separate"/>
      </w:r>
      <w:r>
        <w:rPr>
          <w:rStyle w:val="23"/>
          <w:rFonts w:hint="eastAsia" w:ascii="宋体" w:hAnsi="宋体" w:eastAsia="宋体" w:cs="宋体"/>
          <w:b/>
          <w:bCs/>
          <w:color w:val="auto"/>
          <w:sz w:val="24"/>
          <w:szCs w:val="24"/>
          <w:highlight w:val="none"/>
          <w:lang w:val="en-US" w:eastAsia="zh-CN"/>
        </w:rPr>
        <w:t>http</w:t>
      </w:r>
      <w:r>
        <w:rPr>
          <w:rStyle w:val="23"/>
          <w:rFonts w:hint="eastAsia" w:cs="宋体"/>
          <w:b/>
          <w:bCs/>
          <w:color w:val="auto"/>
          <w:sz w:val="24"/>
          <w:szCs w:val="24"/>
          <w:highlight w:val="none"/>
          <w:lang w:val="en-US" w:eastAsia="zh-CN"/>
        </w:rPr>
        <w:t>：</w:t>
      </w:r>
      <w:r>
        <w:rPr>
          <w:rStyle w:val="23"/>
          <w:rFonts w:hint="eastAsia" w:ascii="宋体" w:hAnsi="宋体" w:eastAsia="宋体" w:cs="宋体"/>
          <w:b/>
          <w:bCs/>
          <w:color w:val="auto"/>
          <w:sz w:val="24"/>
          <w:szCs w:val="24"/>
          <w:highlight w:val="none"/>
          <w:lang w:val="en-US" w:eastAsia="zh-CN"/>
        </w:rPr>
        <w:t>//cdcz.chengdu.gov.cn/cdsczj/c116726/2019-03/13/content_7d81ae9c2a1e48968c7839a9c5b88ccd.shtml</w:t>
      </w:r>
      <w:r>
        <w:rPr>
          <w:rFonts w:hint="eastAsia" w:ascii="宋体" w:hAnsi="宋体" w:eastAsia="宋体" w:cs="宋体"/>
          <w:b/>
          <w:bCs/>
          <w:color w:val="auto"/>
          <w:sz w:val="24"/>
          <w:szCs w:val="24"/>
          <w:highlight w:val="none"/>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lang w:val="en-US" w:eastAsia="zh-CN"/>
        </w:rPr>
      </w:pPr>
    </w:p>
    <w:tbl>
      <w:tblPr>
        <w:tblStyle w:val="19"/>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auto"/>
                <w:sz w:val="66"/>
                <w:szCs w:val="66"/>
                <w:highlight w:val="none"/>
              </w:rPr>
            </w:pPr>
          </w:p>
        </w:tc>
      </w:tr>
    </w:tbl>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hint="eastAsia" w:ascii="方正小标宋_GBK" w:hAnsi="方正小标宋_GBK" w:eastAsia="方正小标宋_GBK"/>
          <w:color w:val="auto"/>
          <w:highlight w:val="none"/>
        </w:rPr>
      </w:pP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pacing w:val="-18"/>
          <w:sz w:val="36"/>
          <w:szCs w:val="36"/>
          <w:highlight w:val="none"/>
        </w:rPr>
      </w:pPr>
      <w:r>
        <w:rPr>
          <w:rFonts w:hint="eastAsia" w:asciiTheme="majorEastAsia" w:hAnsiTheme="majorEastAsia" w:eastAsiaTheme="majorEastAsia" w:cstheme="majorEastAsia"/>
          <w:b/>
          <w:bCs/>
          <w:color w:val="auto"/>
          <w:spacing w:val="-18"/>
          <w:sz w:val="36"/>
          <w:szCs w:val="36"/>
          <w:highlight w:val="none"/>
        </w:rPr>
        <w:t>成都市财政局  中国人民银行成都分行营业管理部</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关于印发《成都市中小企业政府采购信用融资</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Theme="majorEastAsia" w:hAnsiTheme="majorEastAsia" w:eastAsiaTheme="majorEastAsia" w:cstheme="majorEastAsia"/>
          <w:b/>
          <w:bCs/>
          <w:color w:val="auto"/>
          <w:sz w:val="36"/>
          <w:szCs w:val="36"/>
          <w:highlight w:val="none"/>
        </w:rPr>
      </w:pPr>
      <w:r>
        <w:rPr>
          <w:rFonts w:hint="eastAsia" w:asciiTheme="majorEastAsia" w:hAnsiTheme="majorEastAsia" w:eastAsiaTheme="majorEastAsia" w:cstheme="majorEastAsia"/>
          <w:b/>
          <w:bCs/>
          <w:color w:val="auto"/>
          <w:sz w:val="36"/>
          <w:szCs w:val="36"/>
          <w:highlight w:val="none"/>
        </w:rPr>
        <w:t>暂行办法》和《成都市级支持中小企业</w:t>
      </w:r>
    </w:p>
    <w:p>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Theme="majorEastAsia" w:hAnsiTheme="majorEastAsia" w:eastAsiaTheme="majorEastAsia" w:cstheme="majorEastAsia"/>
          <w:b/>
          <w:bCs/>
          <w:color w:val="auto"/>
          <w:sz w:val="36"/>
          <w:szCs w:val="36"/>
          <w:highlight w:val="none"/>
        </w:rPr>
        <w:t>政府采购信用融资实施方案》的通知</w:t>
      </w:r>
    </w:p>
    <w:p>
      <w:pPr>
        <w:jc w:val="center"/>
        <w:rPr>
          <w:rFonts w:hint="eastAsia" w:eastAsia="方正仿宋_GBK"/>
          <w:color w:val="auto"/>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成都天府新区、高新区财政金融局，各区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以下简称《暂行办法》和《实施方案》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市级各部门、单位即日起严格按照《暂行办法》和《实施方案》相关规定和工作要求，结合职能职责认真抓好贯彻执行。各区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市</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2019年2月26日</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成都市中小企业政府采购信用融资暂行办法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政策依据</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川财采〔2016〕35号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和《四川省财政厅关于推进四川省政府采购供应商信用融资工作的通知》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川财采〔2018〕123号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适用范围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术语定义</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本办法所称政府采购信用融资，是指融资机构以信用审查为基础，依据政府采购合同，按相应的优惠政策向申请融资的中小企业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基本原则</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融资方式</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融资额度</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融资利率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融资期限</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融资效率</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融资业务升级</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第十一条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贷款风险补贴</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对银行业金融机构向小微企业发放的贷款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无需抵押、质押或担保的贷款</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融资流程</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四</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六</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财政部门职责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牵头政府采购信用融资工作，做好政策引导和支持协调，为开展政府采购信用融资提供便利。向融资机构提供相关必要信息，推进政府采购中标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第十四条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融资机构主管部门职责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第十五条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第十六条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第十七条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供应商职责</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依法诚信参与政府采购活动，严格遵守国家法律、法规和政府采购合同约定，对投标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响应</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第十八条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采购人监管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第十九条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供应商监管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第二十一条</w:t>
      </w:r>
      <w:bookmarkStart w:id="1221" w:name="BM24558847_25425864_3"/>
      <w:bookmarkEnd w:id="1221"/>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相关单位及工作人员监管</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第二十二条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解释相关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第二十三条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施行相关</w:t>
      </w:r>
      <w:r>
        <w:rPr>
          <w:rFonts w:hint="eastAsia" w:cs="宋体"/>
          <w:color w:val="auto"/>
          <w:sz w:val="24"/>
          <w:szCs w:val="24"/>
          <w:highlight w:val="none"/>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color w:val="auto"/>
          <w:highlight w:val="none"/>
        </w:rPr>
      </w:pPr>
      <w:r>
        <w:rPr>
          <w:rFonts w:hint="eastAsia" w:ascii="宋体" w:hAnsi="宋体" w:eastAsia="宋体" w:cs="宋体"/>
          <w:color w:val="auto"/>
          <w:sz w:val="24"/>
          <w:szCs w:val="24"/>
          <w:highlight w:val="none"/>
        </w:rPr>
        <w:t>本办法自印发之日起施行。市财政局、市金融办2013年12月9日印发的《关于开展中小企业政府采购信用担保及融资试点工作的通知》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成财采〔2013〕200号</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同时废止。</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以下简称《暂行办法》</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，制定本实施方案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中小企业供应商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以下简称供应商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政府采购信用融资实施方案</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包括授信政策、融资产品、贷款利率及其它优惠措施、业务流程及各环节办结时间、联系方式等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加强组织领导。</w:t>
      </w:r>
      <w:r>
        <w:rPr>
          <w:rFonts w:hint="eastAsia" w:ascii="宋体" w:hAnsi="宋体" w:eastAsia="宋体" w:cs="宋体"/>
          <w:color w:val="auto"/>
          <w:kern w:val="0"/>
          <w:sz w:val="24"/>
          <w:szCs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color w:val="auto"/>
          <w:sz w:val="24"/>
          <w:szCs w:val="24"/>
          <w:highlight w:val="none"/>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注重协调配合。</w:t>
      </w:r>
      <w:r>
        <w:rPr>
          <w:rFonts w:hint="eastAsia" w:ascii="宋体" w:hAnsi="宋体" w:eastAsia="宋体" w:cs="宋体"/>
          <w:color w:val="auto"/>
          <w:kern w:val="0"/>
          <w:sz w:val="24"/>
          <w:szCs w:val="24"/>
          <w:highlight w:val="none"/>
        </w:rPr>
        <w:t>市财政局、中国人民银行成都分行营业管理部及采购人</w:t>
      </w:r>
      <w:r>
        <w:rPr>
          <w:rFonts w:hint="eastAsia" w:ascii="宋体" w:hAnsi="宋体" w:eastAsia="宋体" w:cs="宋体"/>
          <w:color w:val="auto"/>
          <w:sz w:val="24"/>
          <w:szCs w:val="24"/>
          <w:highlight w:val="none"/>
        </w:rPr>
        <w:t>等有关单位要根据职责任务，及时协调解决工作中遇到的困难和问题，积极</w:t>
      </w:r>
      <w:r>
        <w:rPr>
          <w:rFonts w:hint="eastAsia" w:ascii="宋体" w:hAnsi="宋体" w:eastAsia="宋体" w:cs="宋体"/>
          <w:color w:val="auto"/>
          <w:kern w:val="0"/>
          <w:sz w:val="24"/>
          <w:szCs w:val="24"/>
          <w:highlight w:val="none"/>
        </w:rPr>
        <w:t>创造条件主动服务，帮助有融资需求、符合条件的供应商实现政府采购信用融资，促进中小企业又好又快发展</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三</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22" w:name="_Toc4431"/>
      <w:bookmarkStart w:id="1223" w:name="_Toc24108"/>
      <w:r>
        <w:rPr>
          <w:rFonts w:hint="eastAsia"/>
          <w:color w:val="auto"/>
          <w:highlight w:val="none"/>
          <w:lang w:val="en-US" w:eastAsia="zh-CN"/>
        </w:rPr>
        <w:t>附件五：《成都市财政局 中国人民银行成都分行营业管理部关于印发成都市政府采购应对新冠肺炎疫情促进中小企业发展实施细则的通知》成财制〔2020〕2号</w:t>
      </w:r>
      <w:bookmarkEnd w:id="1222"/>
      <w:bookmarkEnd w:id="1223"/>
    </w:p>
    <w:p>
      <w:pPr>
        <w:spacing w:line="250" w:lineRule="auto"/>
        <w:rPr>
          <w:rFonts w:ascii="Arial"/>
          <w:color w:val="auto"/>
          <w:sz w:val="21"/>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highlight w:val="none"/>
          <w:lang w:val="en-US" w:eastAsia="zh-CN"/>
        </w:rPr>
      </w:pPr>
      <w:r>
        <w:rPr>
          <w:color w:val="auto"/>
          <w:highlight w:val="none"/>
        </w:rPr>
        <w:drawing>
          <wp:inline distT="0" distB="0" distL="114300" distR="114300">
            <wp:extent cx="5209540" cy="7532370"/>
            <wp:effectExtent l="0" t="0" r="1016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09540" cy="7532370"/>
                    </a:xfrm>
                    <a:prstGeom prst="rect">
                      <a:avLst/>
                    </a:prstGeom>
                    <a:noFill/>
                    <a:ln>
                      <a:noFill/>
                    </a:ln>
                  </pic:spPr>
                </pic:pic>
              </a:graphicData>
            </a:graphic>
          </wp:inline>
        </w:drawing>
      </w:r>
      <w:r>
        <w:rPr>
          <w:color w:val="auto"/>
          <w:highlight w:val="none"/>
        </w:rPr>
        <w:drawing>
          <wp:inline distT="0" distB="0" distL="114300" distR="114300">
            <wp:extent cx="5447665" cy="6513830"/>
            <wp:effectExtent l="0" t="0" r="63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6"/>
                    <a:stretch>
                      <a:fillRect/>
                    </a:stretch>
                  </pic:blipFill>
                  <pic:spPr>
                    <a:xfrm>
                      <a:off x="0" y="0"/>
                      <a:ext cx="5447665" cy="6513830"/>
                    </a:xfrm>
                    <a:prstGeom prst="rect">
                      <a:avLst/>
                    </a:prstGeom>
                    <a:noFill/>
                    <a:ln>
                      <a:noFill/>
                    </a:ln>
                  </pic:spPr>
                </pic:pic>
              </a:graphicData>
            </a:graphic>
          </wp:inline>
        </w:drawing>
      </w:r>
      <w:r>
        <w:rPr>
          <w:color w:val="auto"/>
          <w:highlight w:val="none"/>
        </w:rPr>
        <w:drawing>
          <wp:inline distT="0" distB="0" distL="114300" distR="114300">
            <wp:extent cx="5513705" cy="7498080"/>
            <wp:effectExtent l="0" t="0" r="1079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7"/>
                    <a:stretch>
                      <a:fillRect/>
                    </a:stretch>
                  </pic:blipFill>
                  <pic:spPr>
                    <a:xfrm>
                      <a:off x="0" y="0"/>
                      <a:ext cx="5513705" cy="7498080"/>
                    </a:xfrm>
                    <a:prstGeom prst="rect">
                      <a:avLst/>
                    </a:prstGeom>
                    <a:noFill/>
                    <a:ln>
                      <a:noFill/>
                    </a:ln>
                  </pic:spPr>
                </pic:pic>
              </a:graphicData>
            </a:graphic>
          </wp:inline>
        </w:drawing>
      </w:r>
      <w:r>
        <w:rPr>
          <w:color w:val="auto"/>
          <w:highlight w:val="none"/>
        </w:rPr>
        <w:drawing>
          <wp:inline distT="0" distB="0" distL="114300" distR="114300">
            <wp:extent cx="5607685" cy="7848600"/>
            <wp:effectExtent l="0" t="0" r="571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8"/>
                    <a:stretch>
                      <a:fillRect/>
                    </a:stretch>
                  </pic:blipFill>
                  <pic:spPr>
                    <a:xfrm>
                      <a:off x="0" y="0"/>
                      <a:ext cx="5607685" cy="7848600"/>
                    </a:xfrm>
                    <a:prstGeom prst="rect">
                      <a:avLst/>
                    </a:prstGeom>
                    <a:noFill/>
                    <a:ln>
                      <a:noFill/>
                    </a:ln>
                  </pic:spPr>
                </pic:pic>
              </a:graphicData>
            </a:graphic>
          </wp:inline>
        </w:drawing>
      </w:r>
      <w:r>
        <w:rPr>
          <w:color w:val="auto"/>
          <w:highlight w:val="none"/>
        </w:rPr>
        <w:drawing>
          <wp:inline distT="0" distB="0" distL="114300" distR="114300">
            <wp:extent cx="5572125" cy="7629525"/>
            <wp:effectExtent l="0" t="0" r="3175"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9"/>
                    <a:stretch>
                      <a:fillRect/>
                    </a:stretch>
                  </pic:blipFill>
                  <pic:spPr>
                    <a:xfrm>
                      <a:off x="0" y="0"/>
                      <a:ext cx="5572125" cy="7629525"/>
                    </a:xfrm>
                    <a:prstGeom prst="rect">
                      <a:avLst/>
                    </a:prstGeom>
                    <a:noFill/>
                    <a:ln>
                      <a:noFill/>
                    </a:ln>
                  </pic:spPr>
                </pic:pic>
              </a:graphicData>
            </a:graphic>
          </wp:inline>
        </w:drawing>
      </w:r>
      <w:r>
        <w:rPr>
          <w:color w:val="auto"/>
          <w:highlight w:val="none"/>
        </w:rPr>
        <w:drawing>
          <wp:inline distT="0" distB="0" distL="114300" distR="114300">
            <wp:extent cx="5359400" cy="5872480"/>
            <wp:effectExtent l="0" t="0" r="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0"/>
                    <a:stretch>
                      <a:fillRect/>
                    </a:stretch>
                  </pic:blipFill>
                  <pic:spPr>
                    <a:xfrm>
                      <a:off x="0" y="0"/>
                      <a:ext cx="5359400" cy="5872480"/>
                    </a:xfrm>
                    <a:prstGeom prst="rect">
                      <a:avLst/>
                    </a:prstGeom>
                    <a:noFill/>
                    <a:ln>
                      <a:noFill/>
                    </a:ln>
                  </pic:spPr>
                </pic:pic>
              </a:graphicData>
            </a:graphic>
          </wp:inline>
        </w:drawing>
      </w:r>
      <w:r>
        <w:rPr>
          <w:color w:val="auto"/>
          <w:highlight w:val="none"/>
        </w:rPr>
        <w:drawing>
          <wp:inline distT="0" distB="0" distL="114300" distR="114300">
            <wp:extent cx="5219700" cy="69977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1"/>
                    <a:stretch>
                      <a:fillRect/>
                    </a:stretch>
                  </pic:blipFill>
                  <pic:spPr>
                    <a:xfrm>
                      <a:off x="0" y="0"/>
                      <a:ext cx="5219700" cy="6997700"/>
                    </a:xfrm>
                    <a:prstGeom prst="rect">
                      <a:avLst/>
                    </a:prstGeom>
                    <a:noFill/>
                    <a:ln>
                      <a:noFill/>
                    </a:ln>
                  </pic:spPr>
                </pic:pic>
              </a:graphicData>
            </a:graphic>
          </wp:inline>
        </w:drawing>
      </w:r>
      <w:r>
        <w:rPr>
          <w:color w:val="auto"/>
          <w:highlight w:val="none"/>
        </w:rPr>
        <w:drawing>
          <wp:inline distT="0" distB="0" distL="114300" distR="114300">
            <wp:extent cx="4953000" cy="1495425"/>
            <wp:effectExtent l="0" t="0" r="0" b="31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2"/>
                    <a:stretch>
                      <a:fillRect/>
                    </a:stretch>
                  </pic:blipFill>
                  <pic:spPr>
                    <a:xfrm>
                      <a:off x="0" y="0"/>
                      <a:ext cx="4953000" cy="1495425"/>
                    </a:xfrm>
                    <a:prstGeom prst="rect">
                      <a:avLst/>
                    </a:prstGeom>
                    <a:noFill/>
                    <a:ln>
                      <a:noFill/>
                    </a:ln>
                  </pic:spPr>
                </pic:pic>
              </a:graphicData>
            </a:graphic>
          </wp:inline>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24" w:name="_Toc4051"/>
      <w:bookmarkStart w:id="1225" w:name="_Toc29480"/>
      <w:r>
        <w:rPr>
          <w:rFonts w:hint="eastAsia"/>
          <w:color w:val="auto"/>
          <w:highlight w:val="none"/>
          <w:lang w:val="en-US" w:eastAsia="zh-CN"/>
        </w:rPr>
        <w:t>附件六：环保标志产品政府采购品目清单</w:t>
      </w:r>
      <w:bookmarkEnd w:id="1224"/>
      <w:bookmarkEnd w:id="1225"/>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4384" behindDoc="1" locked="0" layoutInCell="1" allowOverlap="1">
            <wp:simplePos x="0" y="0"/>
            <wp:positionH relativeFrom="column">
              <wp:posOffset>95885</wp:posOffset>
            </wp:positionH>
            <wp:positionV relativeFrom="paragraph">
              <wp:posOffset>104775</wp:posOffset>
            </wp:positionV>
            <wp:extent cx="5960110" cy="7155180"/>
            <wp:effectExtent l="0" t="0" r="8890" b="7620"/>
            <wp:wrapTight wrapText="bothSides">
              <wp:wrapPolygon>
                <wp:start x="0" y="0"/>
                <wp:lineTo x="0" y="21546"/>
                <wp:lineTo x="21540" y="21546"/>
                <wp:lineTo x="21540" y="0"/>
                <wp:lineTo x="0"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stretch>
                      <a:fillRect/>
                    </a:stretch>
                  </pic:blipFill>
                  <pic:spPr>
                    <a:xfrm>
                      <a:off x="0" y="0"/>
                      <a:ext cx="5960110" cy="7155180"/>
                    </a:xfrm>
                    <a:prstGeom prst="rect">
                      <a:avLst/>
                    </a:prstGeom>
                    <a:noFill/>
                    <a:ln>
                      <a:noFill/>
                    </a:ln>
                  </pic:spPr>
                </pic:pic>
              </a:graphicData>
            </a:graphic>
          </wp:anchor>
        </w:drawing>
      </w:r>
    </w:p>
    <w:p>
      <w:pPr>
        <w:rPr>
          <w:rFonts w:hint="eastAsia"/>
          <w:color w:val="auto"/>
          <w:highlight w:val="none"/>
          <w:lang w:val="en-US" w:eastAsia="zh-CN"/>
        </w:rPr>
      </w:pPr>
      <w:r>
        <w:rPr>
          <w:rFonts w:hint="eastAsia"/>
          <w:color w:val="auto"/>
          <w:highlight w:val="none"/>
          <w:lang w:val="en-US" w:eastAsia="zh-CN"/>
        </w:rPr>
        <w:br w:type="page"/>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start="1"/>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5408" behindDoc="1" locked="0" layoutInCell="1" allowOverlap="1">
            <wp:simplePos x="0" y="0"/>
            <wp:positionH relativeFrom="column">
              <wp:posOffset>-12065</wp:posOffset>
            </wp:positionH>
            <wp:positionV relativeFrom="paragraph">
              <wp:posOffset>168275</wp:posOffset>
            </wp:positionV>
            <wp:extent cx="6058535" cy="8411210"/>
            <wp:effectExtent l="0" t="0" r="12065" b="8890"/>
            <wp:wrapTight wrapText="bothSides">
              <wp:wrapPolygon>
                <wp:start x="0" y="0"/>
                <wp:lineTo x="0" y="21558"/>
                <wp:lineTo x="21552" y="21558"/>
                <wp:lineTo x="21552" y="0"/>
                <wp:lineTo x="0" y="0"/>
              </wp:wrapPolygon>
            </wp:wrapTight>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4"/>
                    <a:stretch>
                      <a:fillRect/>
                    </a:stretch>
                  </pic:blipFill>
                  <pic:spPr>
                    <a:xfrm>
                      <a:off x="0" y="0"/>
                      <a:ext cx="6058535" cy="841121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6432" behindDoc="1" locked="0" layoutInCell="1" allowOverlap="1">
            <wp:simplePos x="0" y="0"/>
            <wp:positionH relativeFrom="column">
              <wp:posOffset>-63500</wp:posOffset>
            </wp:positionH>
            <wp:positionV relativeFrom="paragraph">
              <wp:posOffset>211455</wp:posOffset>
            </wp:positionV>
            <wp:extent cx="6181725" cy="7914640"/>
            <wp:effectExtent l="0" t="0" r="3175" b="10160"/>
            <wp:wrapTight wrapText="bothSides">
              <wp:wrapPolygon>
                <wp:start x="0" y="0"/>
                <wp:lineTo x="0" y="21558"/>
                <wp:lineTo x="21567" y="21558"/>
                <wp:lineTo x="21567" y="0"/>
                <wp:lineTo x="0" y="0"/>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5"/>
                    <a:stretch>
                      <a:fillRect/>
                    </a:stretch>
                  </pic:blipFill>
                  <pic:spPr>
                    <a:xfrm>
                      <a:off x="0" y="0"/>
                      <a:ext cx="6181725" cy="791464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7456" behindDoc="1" locked="0" layoutInCell="1" allowOverlap="1">
            <wp:simplePos x="0" y="0"/>
            <wp:positionH relativeFrom="column">
              <wp:posOffset>-62865</wp:posOffset>
            </wp:positionH>
            <wp:positionV relativeFrom="paragraph">
              <wp:posOffset>153670</wp:posOffset>
            </wp:positionV>
            <wp:extent cx="6182995" cy="7993380"/>
            <wp:effectExtent l="0" t="0" r="1905" b="7620"/>
            <wp:wrapTight wrapText="bothSides">
              <wp:wrapPolygon>
                <wp:start x="0" y="0"/>
                <wp:lineTo x="0" y="21552"/>
                <wp:lineTo x="21562" y="21552"/>
                <wp:lineTo x="21562" y="0"/>
                <wp:lineTo x="0" y="0"/>
              </wp:wrapPolygon>
            </wp:wrapTight>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6"/>
                    <a:stretch>
                      <a:fillRect/>
                    </a:stretch>
                  </pic:blipFill>
                  <pic:spPr>
                    <a:xfrm>
                      <a:off x="0" y="0"/>
                      <a:ext cx="6182995" cy="799338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68480" behindDoc="1" locked="0" layoutInCell="1" allowOverlap="1">
            <wp:simplePos x="0" y="0"/>
            <wp:positionH relativeFrom="column">
              <wp:posOffset>0</wp:posOffset>
            </wp:positionH>
            <wp:positionV relativeFrom="paragraph">
              <wp:posOffset>52705</wp:posOffset>
            </wp:positionV>
            <wp:extent cx="6187440" cy="7530465"/>
            <wp:effectExtent l="0" t="0" r="10160" b="635"/>
            <wp:wrapTight wrapText="bothSides">
              <wp:wrapPolygon>
                <wp:start x="0" y="0"/>
                <wp:lineTo x="0" y="21565"/>
                <wp:lineTo x="21547" y="21565"/>
                <wp:lineTo x="21547"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6187440" cy="753046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pPr>
      <w:bookmarkStart w:id="1226" w:name="_Toc16440"/>
      <w:bookmarkStart w:id="1227" w:name="_Toc32456"/>
      <w:r>
        <w:rPr>
          <w:rFonts w:hint="eastAsia"/>
          <w:color w:val="auto"/>
          <w:highlight w:val="none"/>
          <w:lang w:val="en-US" w:eastAsia="zh-CN"/>
        </w:rPr>
        <w:t>附件七：节能产品政府采购品目清单</w:t>
      </w:r>
      <w:bookmarkEnd w:id="1226"/>
      <w:bookmarkEnd w:id="1227"/>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pPr>
      <w:r>
        <w:rPr>
          <w:color w:val="auto"/>
          <w:highlight w:val="none"/>
        </w:rPr>
        <w:drawing>
          <wp:anchor distT="0" distB="0" distL="114300" distR="114300" simplePos="0" relativeHeight="251669504" behindDoc="1" locked="0" layoutInCell="1" allowOverlap="1">
            <wp:simplePos x="0" y="0"/>
            <wp:positionH relativeFrom="column">
              <wp:posOffset>80645</wp:posOffset>
            </wp:positionH>
            <wp:positionV relativeFrom="paragraph">
              <wp:posOffset>40005</wp:posOffset>
            </wp:positionV>
            <wp:extent cx="5941695" cy="7299325"/>
            <wp:effectExtent l="0" t="0" r="1905" b="3175"/>
            <wp:wrapTight wrapText="bothSides">
              <wp:wrapPolygon>
                <wp:start x="0" y="0"/>
                <wp:lineTo x="0" y="21572"/>
                <wp:lineTo x="21561" y="21572"/>
                <wp:lineTo x="21561" y="0"/>
                <wp:lineTo x="0" y="0"/>
              </wp:wrapPolygon>
            </wp:wrapTight>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8"/>
                    <a:stretch>
                      <a:fillRect/>
                    </a:stretch>
                  </pic:blipFill>
                  <pic:spPr>
                    <a:xfrm>
                      <a:off x="0" y="0"/>
                      <a:ext cx="5941695" cy="729932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0528" behindDoc="1" locked="0" layoutInCell="1" allowOverlap="1">
            <wp:simplePos x="0" y="0"/>
            <wp:positionH relativeFrom="column">
              <wp:posOffset>0</wp:posOffset>
            </wp:positionH>
            <wp:positionV relativeFrom="paragraph">
              <wp:posOffset>4445</wp:posOffset>
            </wp:positionV>
            <wp:extent cx="5880735" cy="8602345"/>
            <wp:effectExtent l="0" t="0" r="12065" b="8255"/>
            <wp:wrapTight wrapText="bothSides">
              <wp:wrapPolygon>
                <wp:start x="0" y="0"/>
                <wp:lineTo x="0" y="21557"/>
                <wp:lineTo x="21551" y="21557"/>
                <wp:lineTo x="21551"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5880735" cy="860234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1552" behindDoc="1" locked="0" layoutInCell="1" allowOverlap="1">
            <wp:simplePos x="0" y="0"/>
            <wp:positionH relativeFrom="column">
              <wp:posOffset>194945</wp:posOffset>
            </wp:positionH>
            <wp:positionV relativeFrom="paragraph">
              <wp:posOffset>24130</wp:posOffset>
            </wp:positionV>
            <wp:extent cx="5781675" cy="8566150"/>
            <wp:effectExtent l="0" t="0" r="9525" b="6350"/>
            <wp:wrapTight wrapText="bothSides">
              <wp:wrapPolygon>
                <wp:start x="0" y="0"/>
                <wp:lineTo x="0" y="21584"/>
                <wp:lineTo x="21541" y="21584"/>
                <wp:lineTo x="21541"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5781675" cy="8566150"/>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9"/>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2576" behindDoc="1" locked="0" layoutInCell="1" allowOverlap="1">
            <wp:simplePos x="0" y="0"/>
            <wp:positionH relativeFrom="column">
              <wp:posOffset>110490</wp:posOffset>
            </wp:positionH>
            <wp:positionV relativeFrom="paragraph">
              <wp:posOffset>139065</wp:posOffset>
            </wp:positionV>
            <wp:extent cx="5744210" cy="8425815"/>
            <wp:effectExtent l="0" t="0" r="8890" b="6985"/>
            <wp:wrapTight wrapText="bothSides">
              <wp:wrapPolygon>
                <wp:start x="0" y="0"/>
                <wp:lineTo x="0" y="21553"/>
                <wp:lineTo x="21538" y="21553"/>
                <wp:lineTo x="21538" y="0"/>
                <wp:lineTo x="0" y="0"/>
              </wp:wrapPolygon>
            </wp:wrapTight>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1"/>
                    <a:stretch>
                      <a:fillRect/>
                    </a:stretch>
                  </pic:blipFill>
                  <pic:spPr>
                    <a:xfrm>
                      <a:off x="0" y="0"/>
                      <a:ext cx="5744210" cy="84258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eastAsia"/>
          <w:color w:val="auto"/>
          <w:highlight w:val="none"/>
          <w:lang w:val="en-US" w:eastAsia="zh-CN"/>
        </w:rPr>
        <w:sectPr>
          <w:pgSz w:w="11906" w:h="16838"/>
          <w:pgMar w:top="1440" w:right="1080" w:bottom="1440" w:left="1080" w:header="851" w:footer="992" w:gutter="0"/>
          <w:pgNumType w:fmt="decimal"/>
          <w:cols w:space="0" w:num="1"/>
          <w:titlePg/>
          <w:docGrid w:linePitch="312" w:charSpace="0"/>
        </w:sectPr>
      </w:pPr>
      <w:r>
        <w:rPr>
          <w:color w:val="auto"/>
          <w:highlight w:val="none"/>
        </w:rPr>
        <w:drawing>
          <wp:anchor distT="0" distB="0" distL="114300" distR="114300" simplePos="0" relativeHeight="251673600" behindDoc="1" locked="0" layoutInCell="1" allowOverlap="1">
            <wp:simplePos x="0" y="0"/>
            <wp:positionH relativeFrom="column">
              <wp:posOffset>59055</wp:posOffset>
            </wp:positionH>
            <wp:positionV relativeFrom="paragraph">
              <wp:posOffset>174625</wp:posOffset>
            </wp:positionV>
            <wp:extent cx="6010910" cy="7803515"/>
            <wp:effectExtent l="0" t="0" r="8890" b="6985"/>
            <wp:wrapTight wrapText="bothSides">
              <wp:wrapPolygon>
                <wp:start x="0" y="0"/>
                <wp:lineTo x="0" y="21549"/>
                <wp:lineTo x="21541" y="21549"/>
                <wp:lineTo x="21541" y="0"/>
                <wp:lineTo x="0" y="0"/>
              </wp:wrapPolygon>
            </wp:wrapTight>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42"/>
                    <a:stretch>
                      <a:fillRect/>
                    </a:stretch>
                  </pic:blipFill>
                  <pic:spPr>
                    <a:xfrm>
                      <a:off x="0" y="0"/>
                      <a:ext cx="6010910" cy="7803515"/>
                    </a:xfrm>
                    <a:prstGeom prst="rect">
                      <a:avLst/>
                    </a:prstGeom>
                    <a:noFill/>
                    <a:ln>
                      <a:noFill/>
                    </a:ln>
                  </pic:spPr>
                </pic:pic>
              </a:graphicData>
            </a:graphic>
          </wp:anchor>
        </w:drawing>
      </w:r>
    </w:p>
    <w:p>
      <w:pPr>
        <w:pStyle w:val="49"/>
        <w:keepNext w:val="0"/>
        <w:keepLines w:val="0"/>
        <w:pageBreakBefore w:val="0"/>
        <w:widowControl w:val="0"/>
        <w:kinsoku/>
        <w:wordWrap w:val="0"/>
        <w:overflowPunct/>
        <w:topLinePunct/>
        <w:autoSpaceDE/>
        <w:autoSpaceDN/>
        <w:bidi w:val="0"/>
        <w:adjustRightInd w:val="0"/>
        <w:snapToGrid w:val="0"/>
        <w:textAlignment w:val="auto"/>
        <w:outlineLvl w:val="2"/>
        <w:rPr>
          <w:rFonts w:hint="default"/>
          <w:color w:val="auto"/>
          <w:highlight w:val="none"/>
          <w:lang w:val="en-US" w:eastAsia="zh-CN"/>
        </w:rPr>
      </w:pPr>
      <w:bookmarkStart w:id="1228" w:name="_Toc16184"/>
      <w:bookmarkStart w:id="1229" w:name="_Toc26288"/>
      <w:r>
        <w:rPr>
          <w:rFonts w:hint="eastAsia"/>
          <w:color w:val="auto"/>
          <w:highlight w:val="none"/>
          <w:lang w:val="en-US" w:eastAsia="zh-CN"/>
        </w:rPr>
        <w:t>附件八：质疑函和投诉书范本</w:t>
      </w:r>
      <w:bookmarkEnd w:id="1228"/>
      <w:bookmarkEnd w:id="1229"/>
    </w:p>
    <w:p>
      <w:pPr>
        <w:jc w:val="center"/>
        <w:rPr>
          <w:rFonts w:hint="eastAsia" w:ascii="仿宋" w:hAnsi="仿宋" w:eastAsia="仿宋" w:cs="仿宋"/>
          <w:b/>
          <w:bCs/>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质疑函范本</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一、质疑供应商基本信息</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二、质疑项目基本情况</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三、质疑事项具体内容</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黑体" w:hAnsi="黑体" w:eastAsia="黑体" w:cs="仿宋"/>
          <w:bCs/>
          <w:color w:val="auto"/>
          <w:sz w:val="24"/>
          <w:szCs w:val="24"/>
          <w:highlight w:val="none"/>
        </w:rPr>
      </w:pPr>
      <w:r>
        <w:rPr>
          <w:rFonts w:hint="eastAsia" w:ascii="黑体" w:hAnsi="黑体" w:eastAsia="黑体" w:cs="仿宋"/>
          <w:bCs/>
          <w:color w:val="auto"/>
          <w:sz w:val="24"/>
          <w:szCs w:val="24"/>
          <w:highlight w:val="none"/>
        </w:rPr>
        <w:t>四、与质疑事项相关的质疑请求</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签字(签章)：                   公章：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日期：    </w:t>
      </w: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0" w:firstLineChars="200"/>
        <w:jc w:val="both"/>
        <w:textAlignment w:val="auto"/>
        <w:rPr>
          <w:rFonts w:ascii="仿宋" w:hAnsi="仿宋" w:eastAsia="仿宋" w:cs="仿宋"/>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仿宋" w:hAnsi="仿宋" w:eastAsia="仿宋" w:cs="仿宋"/>
          <w:b/>
          <w:bCs/>
          <w:color w:val="auto"/>
          <w:sz w:val="24"/>
          <w:szCs w:val="24"/>
          <w:highlight w:val="none"/>
        </w:rPr>
      </w:pPr>
    </w:p>
    <w:p>
      <w:pPr>
        <w:keepNext w:val="0"/>
        <w:keepLines w:val="0"/>
        <w:pageBreakBefore w:val="0"/>
        <w:kinsoku/>
        <w:wordWrap w:val="0"/>
        <w:overflowPunct/>
        <w:topLinePunct/>
        <w:autoSpaceDE/>
        <w:autoSpaceDN/>
        <w:bidi w:val="0"/>
        <w:adjustRightInd w:val="0"/>
        <w:snapToGrid w:val="0"/>
        <w:spacing w:line="440" w:lineRule="exact"/>
        <w:ind w:firstLine="482" w:firstLineChars="200"/>
        <w:jc w:val="both"/>
        <w:textAlignment w:val="auto"/>
        <w:rPr>
          <w:rFonts w:ascii="黑体" w:hAnsi="黑体" w:eastAsia="黑体"/>
          <w:b/>
          <w:color w:val="auto"/>
          <w:sz w:val="24"/>
          <w:szCs w:val="24"/>
          <w:highlight w:val="none"/>
        </w:rPr>
      </w:pPr>
      <w:r>
        <w:rPr>
          <w:rFonts w:hint="eastAsia" w:ascii="黑体" w:hAnsi="黑体" w:eastAsia="黑体"/>
          <w:b/>
          <w:color w:val="auto"/>
          <w:sz w:val="24"/>
          <w:szCs w:val="24"/>
          <w:highlight w:val="none"/>
        </w:rPr>
        <w:t>质疑函制作说明：</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keepNext w:val="0"/>
        <w:keepLines w:val="0"/>
        <w:pageBreakBefore w:val="0"/>
        <w:widowControl/>
        <w:kinsoku/>
        <w:wordWrap w:val="0"/>
        <w:overflowPunct/>
        <w:topLinePunct/>
        <w:autoSpaceDE/>
        <w:autoSpaceDN/>
        <w:bidi w:val="0"/>
        <w:adjustRightInd w:val="0"/>
        <w:snapToGrid w:val="0"/>
        <w:spacing w:line="440" w:lineRule="exact"/>
        <w:ind w:firstLine="480" w:firstLineChars="200"/>
        <w:jc w:val="both"/>
        <w:textAlignment w:val="auto"/>
        <w:rPr>
          <w:rFonts w:ascii="仿宋_GB2312" w:eastAsia="仿宋_GB2312"/>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3"/>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投诉书范本</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tabs>
          <w:tab w:val="left" w:pos="6510"/>
          <w:tab w:val="clear" w:pos="0"/>
        </w:tabs>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采购人/代理机构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日,就质疑事项作出了答复/没有在法定期限内作出答复。</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pPr>
        <w:pageBreakBefore w:val="0"/>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sectPr>
          <w:pgSz w:w="11906" w:h="16838"/>
          <w:pgMar w:top="1440" w:right="1080" w:bottom="1440" w:left="1080" w:header="851" w:footer="992" w:gutter="0"/>
          <w:pgNumType w:fmt="decimal"/>
          <w:cols w:space="0" w:num="1"/>
          <w:titlePg/>
          <w:docGrid w:linePitch="312" w:charSpace="0"/>
        </w:sectPr>
      </w:pPr>
    </w:p>
    <w:p>
      <w:pPr>
        <w:pageBreakBefore w:val="0"/>
        <w:kinsoku/>
        <w:wordWrap w:val="0"/>
        <w:overflowPunct/>
        <w:topLinePunct/>
        <w:autoSpaceDE/>
        <w:autoSpaceDN/>
        <w:bidi w:val="0"/>
        <w:adjustRightInd w:val="0"/>
        <w:snapToGrid w:val="0"/>
        <w:spacing w:line="440" w:lineRule="exact"/>
        <w:ind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投诉书制作说明：</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pPr>
        <w:pageBreakBefore w:val="0"/>
        <w:widowControl/>
        <w:kinsoku/>
        <w:wordWrap w:val="0"/>
        <w:overflowPunct/>
        <w:topLinePunct/>
        <w:autoSpaceDE/>
        <w:autoSpaceDN/>
        <w:bidi w:val="0"/>
        <w:adjustRightInd w:val="0"/>
        <w:snapToGrid w:val="0"/>
        <w:spacing w:line="440" w:lineRule="exact"/>
        <w:ind w:firstLine="480" w:firstLineChars="200"/>
        <w:jc w:val="both"/>
        <w:textAlignment w:val="auto"/>
        <w:outlineLvl w:val="9"/>
        <w:rPr>
          <w:rFonts w:hint="eastAsia"/>
          <w:color w:val="auto"/>
          <w:highlight w:val="none"/>
          <w:lang w:val="en-US" w:eastAsia="zh-CN"/>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pPr>
        <w:pStyle w:val="49"/>
        <w:bidi w:val="0"/>
        <w:rPr>
          <w:color w:val="auto"/>
          <w:highlight w:val="none"/>
        </w:rPr>
      </w:pPr>
    </w:p>
    <w:sectPr>
      <w:headerReference r:id="rId19" w:type="first"/>
      <w:footerReference r:id="rId21" w:type="first"/>
      <w:headerReference r:id="rId18" w:type="default"/>
      <w:footerReference r:id="rId20" w:type="default"/>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D32C48-9B89-4CC2-AB24-36BEB816F513}"/>
  </w:font>
  <w:font w:name="黑体">
    <w:panose1 w:val="02010609060101010101"/>
    <w:charset w:val="86"/>
    <w:family w:val="auto"/>
    <w:pitch w:val="default"/>
    <w:sig w:usb0="800002BF" w:usb1="38CF7CFA" w:usb2="00000016" w:usb3="00000000" w:csb0="00040001" w:csb1="00000000"/>
    <w:embedRegular r:id="rId2" w:fontKey="{F2C493A9-FBB0-4B74-9972-1101ADA55F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7B0EF48-0155-4594-B0AC-33F308D8D4F3}"/>
  </w:font>
  <w:font w:name="仿宋_GB2312">
    <w:panose1 w:val="02010609030101010101"/>
    <w:charset w:val="86"/>
    <w:family w:val="auto"/>
    <w:pitch w:val="default"/>
    <w:sig w:usb0="00000000" w:usb1="00000000" w:usb2="00000000" w:usb3="00000000" w:csb0="00000000" w:csb1="00000000"/>
    <w:embedRegular r:id="rId4" w:fontKey="{3F58FE1D-29A1-4F30-9449-5E5482218FAE}"/>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EFAF209B-BE0E-48B1-A150-75A2CAC4D4CF}"/>
  </w:font>
  <w:font w:name="方正小标宋简体">
    <w:panose1 w:val="03000509000000000000"/>
    <w:charset w:val="86"/>
    <w:family w:val="auto"/>
    <w:pitch w:val="default"/>
    <w:sig w:usb0="00000000" w:usb1="00000000" w:usb2="00000000" w:usb3="00000000" w:csb0="00000000" w:csb1="00000000"/>
    <w:embedRegular r:id="rId6" w:fontKey="{EEBC811C-5648-4139-A6B1-213B8A34B82A}"/>
  </w:font>
  <w:font w:name="方正仿宋_GBK">
    <w:panose1 w:val="02000000000000000000"/>
    <w:charset w:val="86"/>
    <w:family w:val="script"/>
    <w:pitch w:val="default"/>
    <w:sig w:usb0="00000000" w:usb1="00000000" w:usb2="00000000" w:usb3="00000000" w:csb0="00000000" w:csb1="00000000"/>
    <w:embedRegular r:id="rId7" w:fontKey="{54F1E7BC-1434-44E6-B073-BC35375B6C7F}"/>
  </w:font>
  <w:font w:name="方正小标宋_GBK">
    <w:panose1 w:val="02000000000000000000"/>
    <w:charset w:val="86"/>
    <w:family w:val="script"/>
    <w:pitch w:val="default"/>
    <w:sig w:usb0="00000000" w:usb1="00000000" w:usb2="00000000" w:usb3="00000000" w:csb0="00000000" w:csb1="00000000"/>
    <w:embedRegular r:id="rId8" w:fontKey="{E19C9E0D-921C-4FD1-BAA8-A68B4E37C8E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5642E4"/>
    <w:multiLevelType w:val="singleLevel"/>
    <w:tmpl w:val="9F5642E4"/>
    <w:lvl w:ilvl="0" w:tentative="0">
      <w:start w:val="4"/>
      <w:numFmt w:val="decimal"/>
      <w:lvlText w:val="%1."/>
      <w:lvlJc w:val="left"/>
      <w:pPr>
        <w:tabs>
          <w:tab w:val="left" w:pos="312"/>
        </w:tabs>
      </w:pPr>
    </w:lvl>
  </w:abstractNum>
  <w:abstractNum w:abstractNumId="1">
    <w:nsid w:val="A80635A9"/>
    <w:multiLevelType w:val="singleLevel"/>
    <w:tmpl w:val="A80635A9"/>
    <w:lvl w:ilvl="0" w:tentative="0">
      <w:start w:val="1"/>
      <w:numFmt w:val="chineseCounting"/>
      <w:pStyle w:val="72"/>
      <w:suff w:val="nothing"/>
      <w:lvlText w:val="第%1条  "/>
      <w:lvlJc w:val="left"/>
      <w:pPr>
        <w:ind w:left="0" w:firstLine="0"/>
      </w:pPr>
      <w:rPr>
        <w:rFonts w:hint="eastAsia"/>
      </w:rPr>
    </w:lvl>
  </w:abstractNum>
  <w:abstractNum w:abstractNumId="2">
    <w:nsid w:val="B04D8E0A"/>
    <w:multiLevelType w:val="multilevel"/>
    <w:tmpl w:val="B04D8E0A"/>
    <w:lvl w:ilvl="0" w:tentative="0">
      <w:start w:val="1"/>
      <w:numFmt w:val="chineseCounting"/>
      <w:pStyle w:val="25"/>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4"/>
      <w:suff w:val="nothing"/>
      <w:lvlText w:val="%2、"/>
      <w:lvlJc w:val="left"/>
      <w:pPr>
        <w:ind w:left="0" w:firstLine="0"/>
      </w:pPr>
      <w:rPr>
        <w:rFonts w:hint="eastAsia" w:ascii="宋体" w:hAnsi="宋体" w:eastAsia="宋体" w:cs="宋体"/>
      </w:rPr>
    </w:lvl>
    <w:lvl w:ilvl="2" w:tentative="0">
      <w:start w:val="1"/>
      <w:numFmt w:val="chineseCounting"/>
      <w:pStyle w:val="27"/>
      <w:suff w:val="nothing"/>
      <w:lvlText w:val="(%3)"/>
      <w:lvlJc w:val="left"/>
      <w:pPr>
        <w:tabs>
          <w:tab w:val="left" w:pos="0"/>
        </w:tabs>
        <w:ind w:left="0" w:firstLine="0"/>
      </w:pPr>
      <w:rPr>
        <w:rFonts w:hint="eastAsia" w:ascii="宋体" w:hAnsi="宋体" w:eastAsia="宋体" w:cs="宋体"/>
      </w:rPr>
    </w:lvl>
    <w:lvl w:ilvl="3" w:tentative="0">
      <w:start w:val="1"/>
      <w:numFmt w:val="decimal"/>
      <w:pStyle w:val="28"/>
      <w:suff w:val="nothing"/>
      <w:lvlText w:val="%4."/>
      <w:lvlJc w:val="left"/>
      <w:pPr>
        <w:tabs>
          <w:tab w:val="left" w:pos="0"/>
        </w:tabs>
        <w:ind w:left="0" w:firstLine="0"/>
      </w:pPr>
      <w:rPr>
        <w:rFonts w:hint="eastAsia" w:ascii="宋体" w:hAnsi="宋体" w:eastAsia="宋体" w:cs="宋体"/>
      </w:rPr>
    </w:lvl>
    <w:lvl w:ilvl="4" w:tentative="0">
      <w:start w:val="1"/>
      <w:numFmt w:val="decimal"/>
      <w:pStyle w:val="30"/>
      <w:suff w:val="nothing"/>
      <w:lvlText w:val="%4.%5"/>
      <w:lvlJc w:val="left"/>
      <w:pPr>
        <w:ind w:left="0" w:firstLine="0"/>
      </w:pPr>
      <w:rPr>
        <w:rFonts w:hint="eastAsia" w:ascii="宋体" w:hAnsi="宋体" w:eastAsia="宋体" w:cs="宋体"/>
      </w:rPr>
    </w:lvl>
    <w:lvl w:ilvl="5" w:tentative="0">
      <w:start w:val="1"/>
      <w:numFmt w:val="decimal"/>
      <w:pStyle w:val="31"/>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7F53590"/>
    <w:multiLevelType w:val="multilevel"/>
    <w:tmpl w:val="C7F53590"/>
    <w:lvl w:ilvl="0" w:tentative="0">
      <w:start w:val="1"/>
      <w:numFmt w:val="decimal"/>
      <w:pStyle w:val="42"/>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43"/>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4"/>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0"/>
      <w:suff w:val="nothing"/>
      <w:lvlText w:val="(%1)"/>
      <w:lvlJc w:val="left"/>
      <w:pPr>
        <w:ind w:left="0" w:firstLine="0"/>
      </w:pPr>
      <w:rPr>
        <w:rFonts w:hint="eastAsia"/>
      </w:rPr>
    </w:lvl>
  </w:abstractNum>
  <w:abstractNum w:abstractNumId="5">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6">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7">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decimal"/>
      <w:pStyle w:val="39"/>
      <w:suff w:val="nothing"/>
      <w:lvlText w:val="%3."/>
      <w:lvlJc w:val="left"/>
      <w:pPr>
        <w:ind w:left="0" w:firstLine="0"/>
      </w:pPr>
      <w:rPr>
        <w:rFonts w:hint="eastAsia" w:ascii="宋体" w:hAnsi="宋体" w:eastAsia="宋体" w:cs="宋体"/>
      </w:rPr>
    </w:lvl>
    <w:lvl w:ilvl="3" w:tentative="0">
      <w:start w:val="1"/>
      <w:numFmt w:val="decimal"/>
      <w:pStyle w:val="40"/>
      <w:suff w:val="nothing"/>
      <w:lvlText w:val="%3.%4"/>
      <w:lvlJc w:val="left"/>
      <w:pPr>
        <w:ind w:left="0" w:firstLine="0"/>
      </w:pPr>
      <w:rPr>
        <w:rFonts w:hint="eastAsia" w:ascii="宋体" w:hAnsi="宋体" w:eastAsia="宋体" w:cs="宋体"/>
      </w:rPr>
    </w:lvl>
    <w:lvl w:ilvl="4" w:tentative="0">
      <w:start w:val="1"/>
      <w:numFmt w:val="decimal"/>
      <w:pStyle w:val="41"/>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8">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9">
    <w:nsid w:val="EA1AE71F"/>
    <w:multiLevelType w:val="singleLevel"/>
    <w:tmpl w:val="EA1AE71F"/>
    <w:lvl w:ilvl="0" w:tentative="0">
      <w:start w:val="1"/>
      <w:numFmt w:val="decimal"/>
      <w:lvlText w:val="%1."/>
      <w:lvlJc w:val="left"/>
      <w:pPr>
        <w:tabs>
          <w:tab w:val="left" w:pos="312"/>
        </w:tabs>
      </w:pPr>
    </w:lvl>
  </w:abstractNum>
  <w:abstractNum w:abstractNumId="10">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1">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3">
    <w:nsid w:val="5018D011"/>
    <w:multiLevelType w:val="singleLevel"/>
    <w:tmpl w:val="5018D011"/>
    <w:lvl w:ilvl="0" w:tentative="0">
      <w:start w:val="1"/>
      <w:numFmt w:val="decimal"/>
      <w:lvlText w:val="%1."/>
      <w:lvlJc w:val="left"/>
      <w:pPr>
        <w:tabs>
          <w:tab w:val="left" w:pos="312"/>
        </w:tabs>
      </w:pPr>
    </w:lvl>
  </w:abstractNum>
  <w:abstractNum w:abstractNumId="14">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7"/>
  </w:num>
  <w:num w:numId="2">
    <w:abstractNumId w:val="2"/>
  </w:num>
  <w:num w:numId="3">
    <w:abstractNumId w:val="12"/>
  </w:num>
  <w:num w:numId="4">
    <w:abstractNumId w:val="3"/>
  </w:num>
  <w:num w:numId="5">
    <w:abstractNumId w:val="5"/>
  </w:num>
  <w:num w:numId="6">
    <w:abstractNumId w:val="4"/>
  </w:num>
  <w:num w:numId="7">
    <w:abstractNumId w:val="1"/>
  </w:num>
  <w:num w:numId="8">
    <w:abstractNumId w:val="11"/>
  </w:num>
  <w:num w:numId="9">
    <w:abstractNumId w:val="6"/>
  </w:num>
  <w:num w:numId="10">
    <w:abstractNumId w:val="9"/>
  </w:num>
  <w:num w:numId="11">
    <w:abstractNumId w:val="1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8"/>
  </w:num>
  <w:num w:numId="21">
    <w:abstractNumId w:val="1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mMTRkYWVlODc0ZTA0NDliOGRlMzkwZDU4OGE5OTQifQ=="/>
  </w:docVars>
  <w:rsids>
    <w:rsidRoot w:val="00172A27"/>
    <w:rsid w:val="0000400A"/>
    <w:rsid w:val="000168D4"/>
    <w:rsid w:val="00037BD4"/>
    <w:rsid w:val="000504D4"/>
    <w:rsid w:val="00050929"/>
    <w:rsid w:val="00071F90"/>
    <w:rsid w:val="00080967"/>
    <w:rsid w:val="00083410"/>
    <w:rsid w:val="00083A85"/>
    <w:rsid w:val="000A22E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4D2F"/>
    <w:rsid w:val="001E6880"/>
    <w:rsid w:val="001E6888"/>
    <w:rsid w:val="002214E7"/>
    <w:rsid w:val="00225683"/>
    <w:rsid w:val="00234073"/>
    <w:rsid w:val="002435A0"/>
    <w:rsid w:val="00243FF7"/>
    <w:rsid w:val="00247B38"/>
    <w:rsid w:val="0025536B"/>
    <w:rsid w:val="002565E2"/>
    <w:rsid w:val="00267611"/>
    <w:rsid w:val="00282CD9"/>
    <w:rsid w:val="00290AF1"/>
    <w:rsid w:val="002B5D9A"/>
    <w:rsid w:val="002B6AE7"/>
    <w:rsid w:val="002B79CA"/>
    <w:rsid w:val="002C53EF"/>
    <w:rsid w:val="002E06BF"/>
    <w:rsid w:val="002E1A1C"/>
    <w:rsid w:val="002E5F48"/>
    <w:rsid w:val="002F05A6"/>
    <w:rsid w:val="002F2C04"/>
    <w:rsid w:val="002F3BB7"/>
    <w:rsid w:val="00315B60"/>
    <w:rsid w:val="003274CB"/>
    <w:rsid w:val="00346B27"/>
    <w:rsid w:val="00347724"/>
    <w:rsid w:val="00353E82"/>
    <w:rsid w:val="003750BD"/>
    <w:rsid w:val="00396369"/>
    <w:rsid w:val="003B2228"/>
    <w:rsid w:val="003C13E4"/>
    <w:rsid w:val="003D21F1"/>
    <w:rsid w:val="003E1DCC"/>
    <w:rsid w:val="003F4651"/>
    <w:rsid w:val="00410967"/>
    <w:rsid w:val="00411E40"/>
    <w:rsid w:val="00415E21"/>
    <w:rsid w:val="00445ADF"/>
    <w:rsid w:val="00451E33"/>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F3F05"/>
    <w:rsid w:val="0060449E"/>
    <w:rsid w:val="006058A4"/>
    <w:rsid w:val="006109FE"/>
    <w:rsid w:val="00614BF4"/>
    <w:rsid w:val="00616B6E"/>
    <w:rsid w:val="00633858"/>
    <w:rsid w:val="00651388"/>
    <w:rsid w:val="00656448"/>
    <w:rsid w:val="00670841"/>
    <w:rsid w:val="006708EE"/>
    <w:rsid w:val="006934B4"/>
    <w:rsid w:val="00694C4F"/>
    <w:rsid w:val="006A532B"/>
    <w:rsid w:val="006B1D4C"/>
    <w:rsid w:val="006C21DD"/>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384"/>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D6789"/>
    <w:rsid w:val="00AE67F6"/>
    <w:rsid w:val="00AF3998"/>
    <w:rsid w:val="00B07B2E"/>
    <w:rsid w:val="00B31CC3"/>
    <w:rsid w:val="00B6648B"/>
    <w:rsid w:val="00BA69F4"/>
    <w:rsid w:val="00BA6D13"/>
    <w:rsid w:val="00BB299F"/>
    <w:rsid w:val="00BE1766"/>
    <w:rsid w:val="00BF4E9E"/>
    <w:rsid w:val="00C00F81"/>
    <w:rsid w:val="00C14B91"/>
    <w:rsid w:val="00C17A63"/>
    <w:rsid w:val="00C35487"/>
    <w:rsid w:val="00C37C9E"/>
    <w:rsid w:val="00C43BC1"/>
    <w:rsid w:val="00CA0AAA"/>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0453"/>
    <w:rsid w:val="00F32329"/>
    <w:rsid w:val="00F4295B"/>
    <w:rsid w:val="00F714C7"/>
    <w:rsid w:val="00F9177B"/>
    <w:rsid w:val="00FE3AAB"/>
    <w:rsid w:val="01010150"/>
    <w:rsid w:val="01051DA8"/>
    <w:rsid w:val="010C0096"/>
    <w:rsid w:val="01136D44"/>
    <w:rsid w:val="012B7796"/>
    <w:rsid w:val="01320DD7"/>
    <w:rsid w:val="013D1C8A"/>
    <w:rsid w:val="013F0F7C"/>
    <w:rsid w:val="01464694"/>
    <w:rsid w:val="01504160"/>
    <w:rsid w:val="015258FF"/>
    <w:rsid w:val="0156446F"/>
    <w:rsid w:val="015873C5"/>
    <w:rsid w:val="016A18CE"/>
    <w:rsid w:val="016D18A8"/>
    <w:rsid w:val="01782F69"/>
    <w:rsid w:val="017F6D8E"/>
    <w:rsid w:val="0186780C"/>
    <w:rsid w:val="01876A1F"/>
    <w:rsid w:val="018C6501"/>
    <w:rsid w:val="018F03FE"/>
    <w:rsid w:val="019377A3"/>
    <w:rsid w:val="01A96BB6"/>
    <w:rsid w:val="01AA6553"/>
    <w:rsid w:val="01B763DC"/>
    <w:rsid w:val="01BC53AC"/>
    <w:rsid w:val="01C25093"/>
    <w:rsid w:val="01C43DE1"/>
    <w:rsid w:val="01C91C5F"/>
    <w:rsid w:val="01E366FD"/>
    <w:rsid w:val="01FA0527"/>
    <w:rsid w:val="020C16CA"/>
    <w:rsid w:val="02132164"/>
    <w:rsid w:val="02151D4A"/>
    <w:rsid w:val="02195753"/>
    <w:rsid w:val="02286712"/>
    <w:rsid w:val="0229654E"/>
    <w:rsid w:val="022D7EC9"/>
    <w:rsid w:val="023372E3"/>
    <w:rsid w:val="02362CC5"/>
    <w:rsid w:val="0241752C"/>
    <w:rsid w:val="024211F3"/>
    <w:rsid w:val="02500906"/>
    <w:rsid w:val="02504227"/>
    <w:rsid w:val="02676F4A"/>
    <w:rsid w:val="026B371F"/>
    <w:rsid w:val="026D704D"/>
    <w:rsid w:val="02735026"/>
    <w:rsid w:val="027655B6"/>
    <w:rsid w:val="02792F82"/>
    <w:rsid w:val="02797F9D"/>
    <w:rsid w:val="02825F13"/>
    <w:rsid w:val="028430AA"/>
    <w:rsid w:val="028879D9"/>
    <w:rsid w:val="02932615"/>
    <w:rsid w:val="029A3A6C"/>
    <w:rsid w:val="02A14D74"/>
    <w:rsid w:val="02A9227A"/>
    <w:rsid w:val="02AA5D42"/>
    <w:rsid w:val="02AE7975"/>
    <w:rsid w:val="02B27BE4"/>
    <w:rsid w:val="02B43DAD"/>
    <w:rsid w:val="02BB62A0"/>
    <w:rsid w:val="02C8779F"/>
    <w:rsid w:val="02D904A0"/>
    <w:rsid w:val="02DA1F3A"/>
    <w:rsid w:val="02DC1FED"/>
    <w:rsid w:val="02DD3DF1"/>
    <w:rsid w:val="02E02D5C"/>
    <w:rsid w:val="02E213EC"/>
    <w:rsid w:val="02E247AD"/>
    <w:rsid w:val="02E3266E"/>
    <w:rsid w:val="02F71628"/>
    <w:rsid w:val="0302424D"/>
    <w:rsid w:val="030514DF"/>
    <w:rsid w:val="030662A1"/>
    <w:rsid w:val="0307291B"/>
    <w:rsid w:val="030B59E8"/>
    <w:rsid w:val="0312038B"/>
    <w:rsid w:val="03132B33"/>
    <w:rsid w:val="031C70D4"/>
    <w:rsid w:val="031F66A5"/>
    <w:rsid w:val="03200E37"/>
    <w:rsid w:val="0321449C"/>
    <w:rsid w:val="03262BDB"/>
    <w:rsid w:val="032F29BB"/>
    <w:rsid w:val="03486A36"/>
    <w:rsid w:val="0350391F"/>
    <w:rsid w:val="03532C0C"/>
    <w:rsid w:val="035B6560"/>
    <w:rsid w:val="03615CD5"/>
    <w:rsid w:val="036E54D5"/>
    <w:rsid w:val="036E7CB0"/>
    <w:rsid w:val="03770FAA"/>
    <w:rsid w:val="039261BA"/>
    <w:rsid w:val="0399335B"/>
    <w:rsid w:val="03A1062D"/>
    <w:rsid w:val="03AA4C9A"/>
    <w:rsid w:val="03B25307"/>
    <w:rsid w:val="03C23BAF"/>
    <w:rsid w:val="03C30D13"/>
    <w:rsid w:val="03C40ABE"/>
    <w:rsid w:val="03D3535E"/>
    <w:rsid w:val="03D60077"/>
    <w:rsid w:val="03D942A6"/>
    <w:rsid w:val="03E3449B"/>
    <w:rsid w:val="03ED7A5F"/>
    <w:rsid w:val="03F029DE"/>
    <w:rsid w:val="03F050BD"/>
    <w:rsid w:val="03F22B46"/>
    <w:rsid w:val="03F262B1"/>
    <w:rsid w:val="03F7077E"/>
    <w:rsid w:val="03FB00F1"/>
    <w:rsid w:val="03FB5265"/>
    <w:rsid w:val="03FF78BC"/>
    <w:rsid w:val="04053316"/>
    <w:rsid w:val="041A7C13"/>
    <w:rsid w:val="041E23EC"/>
    <w:rsid w:val="041F0E44"/>
    <w:rsid w:val="04200D5F"/>
    <w:rsid w:val="04232E7B"/>
    <w:rsid w:val="04237D4F"/>
    <w:rsid w:val="04243DB5"/>
    <w:rsid w:val="042D2739"/>
    <w:rsid w:val="042E0EC7"/>
    <w:rsid w:val="0431295A"/>
    <w:rsid w:val="043C7F61"/>
    <w:rsid w:val="04473600"/>
    <w:rsid w:val="044D771D"/>
    <w:rsid w:val="044F225E"/>
    <w:rsid w:val="0453127A"/>
    <w:rsid w:val="045C025A"/>
    <w:rsid w:val="04652152"/>
    <w:rsid w:val="04663310"/>
    <w:rsid w:val="04671AF4"/>
    <w:rsid w:val="0467789F"/>
    <w:rsid w:val="04683FDD"/>
    <w:rsid w:val="046D5C58"/>
    <w:rsid w:val="046F52E9"/>
    <w:rsid w:val="047212F9"/>
    <w:rsid w:val="047B1E84"/>
    <w:rsid w:val="047E48DB"/>
    <w:rsid w:val="04802939"/>
    <w:rsid w:val="04841778"/>
    <w:rsid w:val="04892F7A"/>
    <w:rsid w:val="048C2CF3"/>
    <w:rsid w:val="049119DA"/>
    <w:rsid w:val="049C59A1"/>
    <w:rsid w:val="04A111B3"/>
    <w:rsid w:val="04AC5B58"/>
    <w:rsid w:val="04B478EB"/>
    <w:rsid w:val="04B830C1"/>
    <w:rsid w:val="04BC54CF"/>
    <w:rsid w:val="04C756B4"/>
    <w:rsid w:val="04C81FF0"/>
    <w:rsid w:val="04DE5CC1"/>
    <w:rsid w:val="04DE7D2B"/>
    <w:rsid w:val="04E41A44"/>
    <w:rsid w:val="04E43DBE"/>
    <w:rsid w:val="04F51041"/>
    <w:rsid w:val="04FB6CA5"/>
    <w:rsid w:val="04FF4175"/>
    <w:rsid w:val="05091CD0"/>
    <w:rsid w:val="051C78C1"/>
    <w:rsid w:val="05204AF2"/>
    <w:rsid w:val="05232BB3"/>
    <w:rsid w:val="05291A4F"/>
    <w:rsid w:val="052A62FE"/>
    <w:rsid w:val="053C2598"/>
    <w:rsid w:val="05421F2E"/>
    <w:rsid w:val="05462EFF"/>
    <w:rsid w:val="054A2BA3"/>
    <w:rsid w:val="05533444"/>
    <w:rsid w:val="055C36F3"/>
    <w:rsid w:val="056533FD"/>
    <w:rsid w:val="056D77F4"/>
    <w:rsid w:val="057327A8"/>
    <w:rsid w:val="05763C17"/>
    <w:rsid w:val="057C1154"/>
    <w:rsid w:val="05845294"/>
    <w:rsid w:val="0586026D"/>
    <w:rsid w:val="05882122"/>
    <w:rsid w:val="0591675E"/>
    <w:rsid w:val="05A74ED3"/>
    <w:rsid w:val="05AA6ECF"/>
    <w:rsid w:val="05B55267"/>
    <w:rsid w:val="05C14E93"/>
    <w:rsid w:val="05D65E1E"/>
    <w:rsid w:val="05E67F5F"/>
    <w:rsid w:val="05ED13EC"/>
    <w:rsid w:val="05EE7A21"/>
    <w:rsid w:val="05F74FD6"/>
    <w:rsid w:val="06015BFD"/>
    <w:rsid w:val="06205349"/>
    <w:rsid w:val="06274A2C"/>
    <w:rsid w:val="062E1A31"/>
    <w:rsid w:val="06341AEA"/>
    <w:rsid w:val="063D7723"/>
    <w:rsid w:val="063E6356"/>
    <w:rsid w:val="0644691C"/>
    <w:rsid w:val="06473E71"/>
    <w:rsid w:val="064C13DA"/>
    <w:rsid w:val="064C422E"/>
    <w:rsid w:val="064E2053"/>
    <w:rsid w:val="064E6F75"/>
    <w:rsid w:val="06607022"/>
    <w:rsid w:val="06621D45"/>
    <w:rsid w:val="06640B64"/>
    <w:rsid w:val="06657762"/>
    <w:rsid w:val="06681512"/>
    <w:rsid w:val="06695AAF"/>
    <w:rsid w:val="066D09E8"/>
    <w:rsid w:val="066D20E0"/>
    <w:rsid w:val="067418DA"/>
    <w:rsid w:val="06756DF3"/>
    <w:rsid w:val="06791870"/>
    <w:rsid w:val="068B4BC1"/>
    <w:rsid w:val="068E4102"/>
    <w:rsid w:val="069B7D6F"/>
    <w:rsid w:val="06A55C95"/>
    <w:rsid w:val="06AB7088"/>
    <w:rsid w:val="06BF6DC9"/>
    <w:rsid w:val="06C14990"/>
    <w:rsid w:val="06C255FB"/>
    <w:rsid w:val="06C27DB7"/>
    <w:rsid w:val="06C466BB"/>
    <w:rsid w:val="06C673A5"/>
    <w:rsid w:val="06CC4655"/>
    <w:rsid w:val="06CF005C"/>
    <w:rsid w:val="06D2689F"/>
    <w:rsid w:val="06DC4238"/>
    <w:rsid w:val="06E16933"/>
    <w:rsid w:val="06E554EF"/>
    <w:rsid w:val="06E66FD9"/>
    <w:rsid w:val="06E91B3A"/>
    <w:rsid w:val="06EA1F65"/>
    <w:rsid w:val="06ED7508"/>
    <w:rsid w:val="06F23D1E"/>
    <w:rsid w:val="06FF392B"/>
    <w:rsid w:val="07057562"/>
    <w:rsid w:val="07065AD5"/>
    <w:rsid w:val="070C5143"/>
    <w:rsid w:val="070F00B4"/>
    <w:rsid w:val="071428F9"/>
    <w:rsid w:val="07144A09"/>
    <w:rsid w:val="072209DC"/>
    <w:rsid w:val="07282D9A"/>
    <w:rsid w:val="072A238A"/>
    <w:rsid w:val="072B2DAF"/>
    <w:rsid w:val="073561EB"/>
    <w:rsid w:val="073B634E"/>
    <w:rsid w:val="073C2D1E"/>
    <w:rsid w:val="074C58DC"/>
    <w:rsid w:val="074D1408"/>
    <w:rsid w:val="075615A8"/>
    <w:rsid w:val="07572B35"/>
    <w:rsid w:val="075926EA"/>
    <w:rsid w:val="075F0056"/>
    <w:rsid w:val="07641D0D"/>
    <w:rsid w:val="07662674"/>
    <w:rsid w:val="0767483A"/>
    <w:rsid w:val="076D482C"/>
    <w:rsid w:val="07796593"/>
    <w:rsid w:val="07821D74"/>
    <w:rsid w:val="078C436E"/>
    <w:rsid w:val="07A31B05"/>
    <w:rsid w:val="07A34FED"/>
    <w:rsid w:val="07AA298F"/>
    <w:rsid w:val="07B2792A"/>
    <w:rsid w:val="07C36603"/>
    <w:rsid w:val="07C40FCD"/>
    <w:rsid w:val="07C621AC"/>
    <w:rsid w:val="07C65804"/>
    <w:rsid w:val="07D7335A"/>
    <w:rsid w:val="07D879E1"/>
    <w:rsid w:val="07E0507A"/>
    <w:rsid w:val="07E72C90"/>
    <w:rsid w:val="07E761B7"/>
    <w:rsid w:val="08014861"/>
    <w:rsid w:val="080E6C62"/>
    <w:rsid w:val="080F372F"/>
    <w:rsid w:val="081A6BAD"/>
    <w:rsid w:val="082661EA"/>
    <w:rsid w:val="08273974"/>
    <w:rsid w:val="082A73B9"/>
    <w:rsid w:val="082F56F4"/>
    <w:rsid w:val="08372ED5"/>
    <w:rsid w:val="08400F85"/>
    <w:rsid w:val="084D1037"/>
    <w:rsid w:val="085049F9"/>
    <w:rsid w:val="08512A9E"/>
    <w:rsid w:val="08512C09"/>
    <w:rsid w:val="08541F2D"/>
    <w:rsid w:val="085C6ED9"/>
    <w:rsid w:val="086379DD"/>
    <w:rsid w:val="08705D89"/>
    <w:rsid w:val="08795873"/>
    <w:rsid w:val="087A1BF2"/>
    <w:rsid w:val="0880536B"/>
    <w:rsid w:val="08872D9E"/>
    <w:rsid w:val="08885FE3"/>
    <w:rsid w:val="088F09A7"/>
    <w:rsid w:val="08903BD8"/>
    <w:rsid w:val="08A23037"/>
    <w:rsid w:val="08A4283A"/>
    <w:rsid w:val="08AB4493"/>
    <w:rsid w:val="08B0513C"/>
    <w:rsid w:val="08BE07C4"/>
    <w:rsid w:val="08BE4EC1"/>
    <w:rsid w:val="08C0336E"/>
    <w:rsid w:val="08C17DE2"/>
    <w:rsid w:val="08C203AB"/>
    <w:rsid w:val="08CC26EA"/>
    <w:rsid w:val="08D539E3"/>
    <w:rsid w:val="08DB73B0"/>
    <w:rsid w:val="08DE1C47"/>
    <w:rsid w:val="08E720D9"/>
    <w:rsid w:val="08E753B1"/>
    <w:rsid w:val="08E86909"/>
    <w:rsid w:val="08EC63BA"/>
    <w:rsid w:val="08ED5689"/>
    <w:rsid w:val="08EE6DAF"/>
    <w:rsid w:val="08F93267"/>
    <w:rsid w:val="08FD0364"/>
    <w:rsid w:val="09102109"/>
    <w:rsid w:val="09117007"/>
    <w:rsid w:val="091D71CF"/>
    <w:rsid w:val="09203EE5"/>
    <w:rsid w:val="09341893"/>
    <w:rsid w:val="09382CC0"/>
    <w:rsid w:val="093B5F9E"/>
    <w:rsid w:val="09416C4F"/>
    <w:rsid w:val="0946032A"/>
    <w:rsid w:val="09474FBC"/>
    <w:rsid w:val="094D4667"/>
    <w:rsid w:val="09582B36"/>
    <w:rsid w:val="095B2421"/>
    <w:rsid w:val="09622569"/>
    <w:rsid w:val="096B0AA9"/>
    <w:rsid w:val="096B20A4"/>
    <w:rsid w:val="09837C82"/>
    <w:rsid w:val="098E57E7"/>
    <w:rsid w:val="099240B6"/>
    <w:rsid w:val="09980A8F"/>
    <w:rsid w:val="09994596"/>
    <w:rsid w:val="099B0E28"/>
    <w:rsid w:val="09AD3757"/>
    <w:rsid w:val="09B024F6"/>
    <w:rsid w:val="09CC3BAD"/>
    <w:rsid w:val="09CC461B"/>
    <w:rsid w:val="09D12789"/>
    <w:rsid w:val="09E05714"/>
    <w:rsid w:val="09E244D3"/>
    <w:rsid w:val="09E44204"/>
    <w:rsid w:val="09EE22B5"/>
    <w:rsid w:val="09F410FD"/>
    <w:rsid w:val="09F568C1"/>
    <w:rsid w:val="09FC2CB4"/>
    <w:rsid w:val="09FC30D5"/>
    <w:rsid w:val="0A031C30"/>
    <w:rsid w:val="0A0E02AF"/>
    <w:rsid w:val="0A0F0F43"/>
    <w:rsid w:val="0A140428"/>
    <w:rsid w:val="0A141092"/>
    <w:rsid w:val="0A18215B"/>
    <w:rsid w:val="0A197DF4"/>
    <w:rsid w:val="0A1C206E"/>
    <w:rsid w:val="0A1F3AFB"/>
    <w:rsid w:val="0A247DB4"/>
    <w:rsid w:val="0A2763EA"/>
    <w:rsid w:val="0A3C2F74"/>
    <w:rsid w:val="0A3D4730"/>
    <w:rsid w:val="0A406793"/>
    <w:rsid w:val="0A4F2112"/>
    <w:rsid w:val="0A562EAD"/>
    <w:rsid w:val="0A586566"/>
    <w:rsid w:val="0A764C3F"/>
    <w:rsid w:val="0A765489"/>
    <w:rsid w:val="0A88671B"/>
    <w:rsid w:val="0A941E7B"/>
    <w:rsid w:val="0AA07F0D"/>
    <w:rsid w:val="0ABF45E0"/>
    <w:rsid w:val="0AC2238D"/>
    <w:rsid w:val="0AC55D93"/>
    <w:rsid w:val="0AD029E3"/>
    <w:rsid w:val="0AD20D78"/>
    <w:rsid w:val="0AD95FEE"/>
    <w:rsid w:val="0AEB1D55"/>
    <w:rsid w:val="0AEC273E"/>
    <w:rsid w:val="0AEF28BE"/>
    <w:rsid w:val="0AFC7C75"/>
    <w:rsid w:val="0AFD2BCB"/>
    <w:rsid w:val="0B030A0E"/>
    <w:rsid w:val="0B113774"/>
    <w:rsid w:val="0B165FCB"/>
    <w:rsid w:val="0B180ECD"/>
    <w:rsid w:val="0B1C1A41"/>
    <w:rsid w:val="0B2F3976"/>
    <w:rsid w:val="0B330D82"/>
    <w:rsid w:val="0B373A25"/>
    <w:rsid w:val="0B3839BB"/>
    <w:rsid w:val="0B490628"/>
    <w:rsid w:val="0B4D084E"/>
    <w:rsid w:val="0B5001FD"/>
    <w:rsid w:val="0B52083E"/>
    <w:rsid w:val="0B5709F7"/>
    <w:rsid w:val="0B5D62E7"/>
    <w:rsid w:val="0B5E6C1B"/>
    <w:rsid w:val="0B6F3C3D"/>
    <w:rsid w:val="0B781E3E"/>
    <w:rsid w:val="0B787300"/>
    <w:rsid w:val="0B7C78A1"/>
    <w:rsid w:val="0B8A2E8C"/>
    <w:rsid w:val="0B94665C"/>
    <w:rsid w:val="0B9B3CCE"/>
    <w:rsid w:val="0B9F3D21"/>
    <w:rsid w:val="0BA004C5"/>
    <w:rsid w:val="0BA527D4"/>
    <w:rsid w:val="0BA62356"/>
    <w:rsid w:val="0BB051D1"/>
    <w:rsid w:val="0BCF0D6E"/>
    <w:rsid w:val="0BDB7F83"/>
    <w:rsid w:val="0BDC2FC1"/>
    <w:rsid w:val="0BDD0790"/>
    <w:rsid w:val="0BDD4638"/>
    <w:rsid w:val="0BDF05C2"/>
    <w:rsid w:val="0BE81B6C"/>
    <w:rsid w:val="0BF05CF9"/>
    <w:rsid w:val="0BF4355E"/>
    <w:rsid w:val="0BF5093F"/>
    <w:rsid w:val="0BF740B1"/>
    <w:rsid w:val="0C095932"/>
    <w:rsid w:val="0C0D7E74"/>
    <w:rsid w:val="0C0E3CFD"/>
    <w:rsid w:val="0C0E43A5"/>
    <w:rsid w:val="0C154760"/>
    <w:rsid w:val="0C166DCE"/>
    <w:rsid w:val="0C1715EB"/>
    <w:rsid w:val="0C281D81"/>
    <w:rsid w:val="0C3D3005"/>
    <w:rsid w:val="0C46530C"/>
    <w:rsid w:val="0C4D5E73"/>
    <w:rsid w:val="0C522144"/>
    <w:rsid w:val="0C5815BD"/>
    <w:rsid w:val="0C593A85"/>
    <w:rsid w:val="0C6658D4"/>
    <w:rsid w:val="0C695D30"/>
    <w:rsid w:val="0C6C127A"/>
    <w:rsid w:val="0C6F3B75"/>
    <w:rsid w:val="0C76594E"/>
    <w:rsid w:val="0C82658A"/>
    <w:rsid w:val="0C833C3C"/>
    <w:rsid w:val="0C866B45"/>
    <w:rsid w:val="0C8C56BB"/>
    <w:rsid w:val="0C9F74EE"/>
    <w:rsid w:val="0CA53F3A"/>
    <w:rsid w:val="0CA87886"/>
    <w:rsid w:val="0CAF57CC"/>
    <w:rsid w:val="0CB0086B"/>
    <w:rsid w:val="0CC06DC6"/>
    <w:rsid w:val="0CC12374"/>
    <w:rsid w:val="0CC5099D"/>
    <w:rsid w:val="0CDC30C8"/>
    <w:rsid w:val="0CE80085"/>
    <w:rsid w:val="0CE94F94"/>
    <w:rsid w:val="0CED067B"/>
    <w:rsid w:val="0CF01B4E"/>
    <w:rsid w:val="0CF92669"/>
    <w:rsid w:val="0CFC6488"/>
    <w:rsid w:val="0D0D7437"/>
    <w:rsid w:val="0D1158BC"/>
    <w:rsid w:val="0D1C7F5B"/>
    <w:rsid w:val="0D1D5BF4"/>
    <w:rsid w:val="0D1E59D9"/>
    <w:rsid w:val="0D2474FB"/>
    <w:rsid w:val="0D2E7CDA"/>
    <w:rsid w:val="0D30538D"/>
    <w:rsid w:val="0D4A61F6"/>
    <w:rsid w:val="0D58417A"/>
    <w:rsid w:val="0D5A3280"/>
    <w:rsid w:val="0D5A4C9D"/>
    <w:rsid w:val="0D5E127F"/>
    <w:rsid w:val="0D6147B8"/>
    <w:rsid w:val="0D636535"/>
    <w:rsid w:val="0D6C0EAE"/>
    <w:rsid w:val="0D6E0969"/>
    <w:rsid w:val="0D6F5C9D"/>
    <w:rsid w:val="0D741C11"/>
    <w:rsid w:val="0D775043"/>
    <w:rsid w:val="0D790005"/>
    <w:rsid w:val="0D793F75"/>
    <w:rsid w:val="0D8323B8"/>
    <w:rsid w:val="0D8A0E08"/>
    <w:rsid w:val="0D8D3FD0"/>
    <w:rsid w:val="0D9174C8"/>
    <w:rsid w:val="0D947DEF"/>
    <w:rsid w:val="0D957E6A"/>
    <w:rsid w:val="0D9960F6"/>
    <w:rsid w:val="0D9B3836"/>
    <w:rsid w:val="0D9D017D"/>
    <w:rsid w:val="0DA02ADC"/>
    <w:rsid w:val="0DB87064"/>
    <w:rsid w:val="0DC21F49"/>
    <w:rsid w:val="0DC220C6"/>
    <w:rsid w:val="0DD1316E"/>
    <w:rsid w:val="0DD37D4F"/>
    <w:rsid w:val="0DDE2D32"/>
    <w:rsid w:val="0DF134D6"/>
    <w:rsid w:val="0DF16E21"/>
    <w:rsid w:val="0E087D05"/>
    <w:rsid w:val="0E0D7FD1"/>
    <w:rsid w:val="0E105F97"/>
    <w:rsid w:val="0E1D4C94"/>
    <w:rsid w:val="0E1E01D2"/>
    <w:rsid w:val="0E2026C9"/>
    <w:rsid w:val="0E237ECF"/>
    <w:rsid w:val="0E26072A"/>
    <w:rsid w:val="0E2C57A6"/>
    <w:rsid w:val="0E3B4AAC"/>
    <w:rsid w:val="0E3D45E7"/>
    <w:rsid w:val="0E3D63C6"/>
    <w:rsid w:val="0E417312"/>
    <w:rsid w:val="0E444E25"/>
    <w:rsid w:val="0E4528EE"/>
    <w:rsid w:val="0E463F6A"/>
    <w:rsid w:val="0E4E095A"/>
    <w:rsid w:val="0E533A22"/>
    <w:rsid w:val="0E5400D2"/>
    <w:rsid w:val="0E58299B"/>
    <w:rsid w:val="0E5D50FC"/>
    <w:rsid w:val="0E5E0B3E"/>
    <w:rsid w:val="0E6966A2"/>
    <w:rsid w:val="0E6A2D0C"/>
    <w:rsid w:val="0E6A6868"/>
    <w:rsid w:val="0E6C2D82"/>
    <w:rsid w:val="0E767DF8"/>
    <w:rsid w:val="0E890154"/>
    <w:rsid w:val="0E8D2FCC"/>
    <w:rsid w:val="0E9944EA"/>
    <w:rsid w:val="0EA45892"/>
    <w:rsid w:val="0EB331E4"/>
    <w:rsid w:val="0EB5186D"/>
    <w:rsid w:val="0EB968BD"/>
    <w:rsid w:val="0EBC0876"/>
    <w:rsid w:val="0EBC1880"/>
    <w:rsid w:val="0EBC72A0"/>
    <w:rsid w:val="0ECF0DC1"/>
    <w:rsid w:val="0ECF6E99"/>
    <w:rsid w:val="0ED45063"/>
    <w:rsid w:val="0ED57EB9"/>
    <w:rsid w:val="0ED923CE"/>
    <w:rsid w:val="0EE42BAA"/>
    <w:rsid w:val="0EF80C90"/>
    <w:rsid w:val="0F0159FA"/>
    <w:rsid w:val="0F060E4D"/>
    <w:rsid w:val="0F090320"/>
    <w:rsid w:val="0F155C7F"/>
    <w:rsid w:val="0F261433"/>
    <w:rsid w:val="0F2A3D68"/>
    <w:rsid w:val="0F3E4FBF"/>
    <w:rsid w:val="0F3F2856"/>
    <w:rsid w:val="0F4527B9"/>
    <w:rsid w:val="0F456F43"/>
    <w:rsid w:val="0F4C5F6E"/>
    <w:rsid w:val="0F4F7F5C"/>
    <w:rsid w:val="0F552295"/>
    <w:rsid w:val="0F555D3E"/>
    <w:rsid w:val="0F5D5585"/>
    <w:rsid w:val="0F6459AD"/>
    <w:rsid w:val="0F7331B1"/>
    <w:rsid w:val="0F815779"/>
    <w:rsid w:val="0F830CF9"/>
    <w:rsid w:val="0F845AA7"/>
    <w:rsid w:val="0F8807D3"/>
    <w:rsid w:val="0F8E5A77"/>
    <w:rsid w:val="0F985025"/>
    <w:rsid w:val="0FA355C9"/>
    <w:rsid w:val="0FA715B7"/>
    <w:rsid w:val="0FAA2BE2"/>
    <w:rsid w:val="0FAB0735"/>
    <w:rsid w:val="0FAB73CF"/>
    <w:rsid w:val="0FB02E75"/>
    <w:rsid w:val="0FBA136E"/>
    <w:rsid w:val="0FBD3F9D"/>
    <w:rsid w:val="0FC44457"/>
    <w:rsid w:val="0FC67596"/>
    <w:rsid w:val="0FD23538"/>
    <w:rsid w:val="0FDF7159"/>
    <w:rsid w:val="0FE07CE6"/>
    <w:rsid w:val="0FE866A2"/>
    <w:rsid w:val="0FEA7956"/>
    <w:rsid w:val="0FF2619D"/>
    <w:rsid w:val="0FFC3732"/>
    <w:rsid w:val="10002E78"/>
    <w:rsid w:val="10047624"/>
    <w:rsid w:val="100A088B"/>
    <w:rsid w:val="1014463D"/>
    <w:rsid w:val="101A2E8C"/>
    <w:rsid w:val="101E557F"/>
    <w:rsid w:val="10220902"/>
    <w:rsid w:val="102915EA"/>
    <w:rsid w:val="1029414C"/>
    <w:rsid w:val="102A2753"/>
    <w:rsid w:val="1030329B"/>
    <w:rsid w:val="10392996"/>
    <w:rsid w:val="103C5218"/>
    <w:rsid w:val="10464329"/>
    <w:rsid w:val="104907CB"/>
    <w:rsid w:val="105E4D49"/>
    <w:rsid w:val="10675755"/>
    <w:rsid w:val="107921C2"/>
    <w:rsid w:val="107B2B95"/>
    <w:rsid w:val="107C3847"/>
    <w:rsid w:val="107E07FE"/>
    <w:rsid w:val="10804B06"/>
    <w:rsid w:val="10897B59"/>
    <w:rsid w:val="108B5C75"/>
    <w:rsid w:val="10927871"/>
    <w:rsid w:val="109A0EBC"/>
    <w:rsid w:val="109B2457"/>
    <w:rsid w:val="10A86948"/>
    <w:rsid w:val="10BD4B6E"/>
    <w:rsid w:val="10CB02A5"/>
    <w:rsid w:val="10D11D52"/>
    <w:rsid w:val="10D8733A"/>
    <w:rsid w:val="10E00E64"/>
    <w:rsid w:val="10E55858"/>
    <w:rsid w:val="10E8122E"/>
    <w:rsid w:val="10F16B8E"/>
    <w:rsid w:val="10F371A5"/>
    <w:rsid w:val="10FD57A5"/>
    <w:rsid w:val="11002024"/>
    <w:rsid w:val="1101215E"/>
    <w:rsid w:val="11041C69"/>
    <w:rsid w:val="11051170"/>
    <w:rsid w:val="1107086A"/>
    <w:rsid w:val="110944F8"/>
    <w:rsid w:val="111D7A3C"/>
    <w:rsid w:val="11236051"/>
    <w:rsid w:val="112673D2"/>
    <w:rsid w:val="11272A81"/>
    <w:rsid w:val="11291585"/>
    <w:rsid w:val="11343C71"/>
    <w:rsid w:val="1135344F"/>
    <w:rsid w:val="113B7B50"/>
    <w:rsid w:val="113F2FF0"/>
    <w:rsid w:val="1140061F"/>
    <w:rsid w:val="11511756"/>
    <w:rsid w:val="11513703"/>
    <w:rsid w:val="1166278E"/>
    <w:rsid w:val="11674272"/>
    <w:rsid w:val="116D186E"/>
    <w:rsid w:val="116D53E1"/>
    <w:rsid w:val="1170715C"/>
    <w:rsid w:val="11763534"/>
    <w:rsid w:val="117A3266"/>
    <w:rsid w:val="117F087D"/>
    <w:rsid w:val="118050B1"/>
    <w:rsid w:val="118151C6"/>
    <w:rsid w:val="11835203"/>
    <w:rsid w:val="119C7740"/>
    <w:rsid w:val="11A3453B"/>
    <w:rsid w:val="11AD53AD"/>
    <w:rsid w:val="11B102ED"/>
    <w:rsid w:val="11B13A44"/>
    <w:rsid w:val="11B53C89"/>
    <w:rsid w:val="11B64B9D"/>
    <w:rsid w:val="11B82816"/>
    <w:rsid w:val="11B9527B"/>
    <w:rsid w:val="11C34C5A"/>
    <w:rsid w:val="11CF686B"/>
    <w:rsid w:val="11D6260D"/>
    <w:rsid w:val="11D64215"/>
    <w:rsid w:val="11D7281B"/>
    <w:rsid w:val="11D93657"/>
    <w:rsid w:val="11E069D0"/>
    <w:rsid w:val="11E36E54"/>
    <w:rsid w:val="11E62926"/>
    <w:rsid w:val="11E7019B"/>
    <w:rsid w:val="11F022B8"/>
    <w:rsid w:val="12041F1C"/>
    <w:rsid w:val="120B15F0"/>
    <w:rsid w:val="120D483D"/>
    <w:rsid w:val="12184CA1"/>
    <w:rsid w:val="121D2DB8"/>
    <w:rsid w:val="121F121F"/>
    <w:rsid w:val="12312740"/>
    <w:rsid w:val="12386C7D"/>
    <w:rsid w:val="12456C94"/>
    <w:rsid w:val="125255DD"/>
    <w:rsid w:val="12576528"/>
    <w:rsid w:val="12695089"/>
    <w:rsid w:val="126F5ED9"/>
    <w:rsid w:val="12751C80"/>
    <w:rsid w:val="12913FB2"/>
    <w:rsid w:val="12957C81"/>
    <w:rsid w:val="12970BC5"/>
    <w:rsid w:val="129758DE"/>
    <w:rsid w:val="1299328B"/>
    <w:rsid w:val="129F2178"/>
    <w:rsid w:val="12A04B9A"/>
    <w:rsid w:val="12A30DA6"/>
    <w:rsid w:val="12A32349"/>
    <w:rsid w:val="12B403C6"/>
    <w:rsid w:val="12C23A7C"/>
    <w:rsid w:val="12D37006"/>
    <w:rsid w:val="12D919C1"/>
    <w:rsid w:val="12DB7608"/>
    <w:rsid w:val="12E94BA8"/>
    <w:rsid w:val="12EE40CE"/>
    <w:rsid w:val="12F0221C"/>
    <w:rsid w:val="12F11306"/>
    <w:rsid w:val="12F16671"/>
    <w:rsid w:val="12F55F70"/>
    <w:rsid w:val="12F65C7B"/>
    <w:rsid w:val="13053401"/>
    <w:rsid w:val="130A3353"/>
    <w:rsid w:val="13127492"/>
    <w:rsid w:val="131B0C66"/>
    <w:rsid w:val="1325634E"/>
    <w:rsid w:val="132758DB"/>
    <w:rsid w:val="132B0100"/>
    <w:rsid w:val="132D5FE0"/>
    <w:rsid w:val="13380869"/>
    <w:rsid w:val="13540033"/>
    <w:rsid w:val="135C7B92"/>
    <w:rsid w:val="135E60A9"/>
    <w:rsid w:val="136743F4"/>
    <w:rsid w:val="13755EB2"/>
    <w:rsid w:val="13877DCB"/>
    <w:rsid w:val="13887B1A"/>
    <w:rsid w:val="13895A4A"/>
    <w:rsid w:val="139617FD"/>
    <w:rsid w:val="13985C26"/>
    <w:rsid w:val="139F2E5E"/>
    <w:rsid w:val="13A35911"/>
    <w:rsid w:val="13A47BFE"/>
    <w:rsid w:val="13A77AE7"/>
    <w:rsid w:val="13B5648C"/>
    <w:rsid w:val="13B773EB"/>
    <w:rsid w:val="13C11401"/>
    <w:rsid w:val="13C16519"/>
    <w:rsid w:val="13C4002F"/>
    <w:rsid w:val="13CA1B57"/>
    <w:rsid w:val="13CC58CC"/>
    <w:rsid w:val="13CD7C46"/>
    <w:rsid w:val="13D91D86"/>
    <w:rsid w:val="13E67824"/>
    <w:rsid w:val="13E73A66"/>
    <w:rsid w:val="13ED6898"/>
    <w:rsid w:val="13F015BE"/>
    <w:rsid w:val="13F75382"/>
    <w:rsid w:val="13FB4175"/>
    <w:rsid w:val="140137CB"/>
    <w:rsid w:val="14074B59"/>
    <w:rsid w:val="1408504F"/>
    <w:rsid w:val="14166484"/>
    <w:rsid w:val="14197E9B"/>
    <w:rsid w:val="14242A9B"/>
    <w:rsid w:val="14270D58"/>
    <w:rsid w:val="14293FDD"/>
    <w:rsid w:val="142C4E25"/>
    <w:rsid w:val="14335E33"/>
    <w:rsid w:val="143A24F1"/>
    <w:rsid w:val="14533DD7"/>
    <w:rsid w:val="14575C4C"/>
    <w:rsid w:val="145D7218"/>
    <w:rsid w:val="14663754"/>
    <w:rsid w:val="14701BEF"/>
    <w:rsid w:val="1470604A"/>
    <w:rsid w:val="147552AC"/>
    <w:rsid w:val="14857BC8"/>
    <w:rsid w:val="148A09EC"/>
    <w:rsid w:val="14921567"/>
    <w:rsid w:val="14A03AE1"/>
    <w:rsid w:val="14BE3BD0"/>
    <w:rsid w:val="14C15D37"/>
    <w:rsid w:val="14C675BD"/>
    <w:rsid w:val="14CF2CA5"/>
    <w:rsid w:val="14D234DF"/>
    <w:rsid w:val="14D53920"/>
    <w:rsid w:val="14E36FB1"/>
    <w:rsid w:val="14E4157B"/>
    <w:rsid w:val="14E44A7F"/>
    <w:rsid w:val="14E60E10"/>
    <w:rsid w:val="14E82BDD"/>
    <w:rsid w:val="14F16D12"/>
    <w:rsid w:val="14F62DB0"/>
    <w:rsid w:val="14F71157"/>
    <w:rsid w:val="14F95A36"/>
    <w:rsid w:val="15072773"/>
    <w:rsid w:val="150D3CF7"/>
    <w:rsid w:val="151D60E3"/>
    <w:rsid w:val="152F6116"/>
    <w:rsid w:val="1530340C"/>
    <w:rsid w:val="153674A4"/>
    <w:rsid w:val="15376A6C"/>
    <w:rsid w:val="15443470"/>
    <w:rsid w:val="154D0CBB"/>
    <w:rsid w:val="154D2C83"/>
    <w:rsid w:val="155D44F6"/>
    <w:rsid w:val="1568195A"/>
    <w:rsid w:val="156825AE"/>
    <w:rsid w:val="156A365B"/>
    <w:rsid w:val="157523D3"/>
    <w:rsid w:val="157648A9"/>
    <w:rsid w:val="1576687D"/>
    <w:rsid w:val="157D25F1"/>
    <w:rsid w:val="158013B3"/>
    <w:rsid w:val="1580388D"/>
    <w:rsid w:val="15804642"/>
    <w:rsid w:val="15897466"/>
    <w:rsid w:val="159D2AA8"/>
    <w:rsid w:val="15AE3BF2"/>
    <w:rsid w:val="15B61C1D"/>
    <w:rsid w:val="15BC3A0F"/>
    <w:rsid w:val="15CE2F37"/>
    <w:rsid w:val="15CF3C06"/>
    <w:rsid w:val="15CF6FF0"/>
    <w:rsid w:val="15D26FFC"/>
    <w:rsid w:val="15DF1441"/>
    <w:rsid w:val="15E13C31"/>
    <w:rsid w:val="15E40909"/>
    <w:rsid w:val="15E57584"/>
    <w:rsid w:val="15EC5575"/>
    <w:rsid w:val="15F97B47"/>
    <w:rsid w:val="15FA6CC6"/>
    <w:rsid w:val="16005385"/>
    <w:rsid w:val="16034EBB"/>
    <w:rsid w:val="16071DD9"/>
    <w:rsid w:val="160C5D02"/>
    <w:rsid w:val="16184098"/>
    <w:rsid w:val="161F618A"/>
    <w:rsid w:val="161F7166"/>
    <w:rsid w:val="16235E15"/>
    <w:rsid w:val="16290D5F"/>
    <w:rsid w:val="162C4C37"/>
    <w:rsid w:val="16333E74"/>
    <w:rsid w:val="163409FD"/>
    <w:rsid w:val="16353C00"/>
    <w:rsid w:val="16357CE2"/>
    <w:rsid w:val="16370EB5"/>
    <w:rsid w:val="163769B9"/>
    <w:rsid w:val="16477DE9"/>
    <w:rsid w:val="164925E6"/>
    <w:rsid w:val="16564ED8"/>
    <w:rsid w:val="16695F27"/>
    <w:rsid w:val="166B2C03"/>
    <w:rsid w:val="166B2D98"/>
    <w:rsid w:val="16753E20"/>
    <w:rsid w:val="167A093E"/>
    <w:rsid w:val="167E6CA3"/>
    <w:rsid w:val="167F4B95"/>
    <w:rsid w:val="168C1642"/>
    <w:rsid w:val="169728A5"/>
    <w:rsid w:val="16980ACF"/>
    <w:rsid w:val="16996BD1"/>
    <w:rsid w:val="169D0E74"/>
    <w:rsid w:val="16A0455F"/>
    <w:rsid w:val="16A45B30"/>
    <w:rsid w:val="16A63B54"/>
    <w:rsid w:val="16B0603A"/>
    <w:rsid w:val="16B9038D"/>
    <w:rsid w:val="16C10A6C"/>
    <w:rsid w:val="16C63741"/>
    <w:rsid w:val="16C96046"/>
    <w:rsid w:val="16D67B98"/>
    <w:rsid w:val="16DB09CD"/>
    <w:rsid w:val="16E21427"/>
    <w:rsid w:val="16EE425E"/>
    <w:rsid w:val="16F335D2"/>
    <w:rsid w:val="17017CA0"/>
    <w:rsid w:val="17033117"/>
    <w:rsid w:val="17044C1E"/>
    <w:rsid w:val="1705416A"/>
    <w:rsid w:val="170C751B"/>
    <w:rsid w:val="17156B21"/>
    <w:rsid w:val="17174AB2"/>
    <w:rsid w:val="1718056E"/>
    <w:rsid w:val="171D3139"/>
    <w:rsid w:val="17273AF9"/>
    <w:rsid w:val="172759C9"/>
    <w:rsid w:val="172C1D05"/>
    <w:rsid w:val="172F59B8"/>
    <w:rsid w:val="173A64BB"/>
    <w:rsid w:val="173C59AC"/>
    <w:rsid w:val="173F20E2"/>
    <w:rsid w:val="175D157B"/>
    <w:rsid w:val="1760681F"/>
    <w:rsid w:val="17792B60"/>
    <w:rsid w:val="177C2EE7"/>
    <w:rsid w:val="177F62FA"/>
    <w:rsid w:val="1789593F"/>
    <w:rsid w:val="178E0BAF"/>
    <w:rsid w:val="17930A3A"/>
    <w:rsid w:val="17950D23"/>
    <w:rsid w:val="17C271C7"/>
    <w:rsid w:val="17C641EB"/>
    <w:rsid w:val="17C83F94"/>
    <w:rsid w:val="17CE25E1"/>
    <w:rsid w:val="17D10BF7"/>
    <w:rsid w:val="17E15BCD"/>
    <w:rsid w:val="17E25684"/>
    <w:rsid w:val="17FA253A"/>
    <w:rsid w:val="18071145"/>
    <w:rsid w:val="180D1861"/>
    <w:rsid w:val="180F4F7D"/>
    <w:rsid w:val="181B6E25"/>
    <w:rsid w:val="181D1D9B"/>
    <w:rsid w:val="18226406"/>
    <w:rsid w:val="1824021D"/>
    <w:rsid w:val="182727AA"/>
    <w:rsid w:val="182B084D"/>
    <w:rsid w:val="182C3C1D"/>
    <w:rsid w:val="182F24C2"/>
    <w:rsid w:val="183103F7"/>
    <w:rsid w:val="183968EB"/>
    <w:rsid w:val="184060DE"/>
    <w:rsid w:val="184D5870"/>
    <w:rsid w:val="185335C0"/>
    <w:rsid w:val="18534811"/>
    <w:rsid w:val="18563FCC"/>
    <w:rsid w:val="18690252"/>
    <w:rsid w:val="186A253C"/>
    <w:rsid w:val="18700F1F"/>
    <w:rsid w:val="18710348"/>
    <w:rsid w:val="187602DD"/>
    <w:rsid w:val="18764A71"/>
    <w:rsid w:val="18782953"/>
    <w:rsid w:val="187A35BD"/>
    <w:rsid w:val="188123CF"/>
    <w:rsid w:val="18865DF7"/>
    <w:rsid w:val="18886008"/>
    <w:rsid w:val="18921538"/>
    <w:rsid w:val="18981291"/>
    <w:rsid w:val="189E12C3"/>
    <w:rsid w:val="189E32A4"/>
    <w:rsid w:val="18A958B2"/>
    <w:rsid w:val="18BD055D"/>
    <w:rsid w:val="18C04A46"/>
    <w:rsid w:val="18C4037B"/>
    <w:rsid w:val="18C82853"/>
    <w:rsid w:val="18D764B0"/>
    <w:rsid w:val="18D8064F"/>
    <w:rsid w:val="18D92B7A"/>
    <w:rsid w:val="18E12003"/>
    <w:rsid w:val="18E825F4"/>
    <w:rsid w:val="18F3652A"/>
    <w:rsid w:val="18F73EE2"/>
    <w:rsid w:val="18FB57B4"/>
    <w:rsid w:val="18FF308F"/>
    <w:rsid w:val="19263C11"/>
    <w:rsid w:val="1934019F"/>
    <w:rsid w:val="19364034"/>
    <w:rsid w:val="194505FE"/>
    <w:rsid w:val="194B6D06"/>
    <w:rsid w:val="19580F07"/>
    <w:rsid w:val="195A572B"/>
    <w:rsid w:val="195F6866"/>
    <w:rsid w:val="19635F44"/>
    <w:rsid w:val="19690F79"/>
    <w:rsid w:val="196B751E"/>
    <w:rsid w:val="196C060A"/>
    <w:rsid w:val="197226D6"/>
    <w:rsid w:val="197315F4"/>
    <w:rsid w:val="197B045A"/>
    <w:rsid w:val="197F6FC8"/>
    <w:rsid w:val="19820608"/>
    <w:rsid w:val="19846CBF"/>
    <w:rsid w:val="198F583E"/>
    <w:rsid w:val="19911370"/>
    <w:rsid w:val="19A06826"/>
    <w:rsid w:val="19A14097"/>
    <w:rsid w:val="19A60597"/>
    <w:rsid w:val="19A659A4"/>
    <w:rsid w:val="19A748CE"/>
    <w:rsid w:val="19AD326C"/>
    <w:rsid w:val="19B53F29"/>
    <w:rsid w:val="19BB4AC7"/>
    <w:rsid w:val="19D35C0A"/>
    <w:rsid w:val="19ED1019"/>
    <w:rsid w:val="19EF5064"/>
    <w:rsid w:val="19F30FD0"/>
    <w:rsid w:val="19F43840"/>
    <w:rsid w:val="19FB73D6"/>
    <w:rsid w:val="1A084634"/>
    <w:rsid w:val="1A0931E6"/>
    <w:rsid w:val="1A0B22C7"/>
    <w:rsid w:val="1A0F6810"/>
    <w:rsid w:val="1A132478"/>
    <w:rsid w:val="1A1D39FB"/>
    <w:rsid w:val="1A1E49AB"/>
    <w:rsid w:val="1A226249"/>
    <w:rsid w:val="1A2C6661"/>
    <w:rsid w:val="1A2D7316"/>
    <w:rsid w:val="1A33410B"/>
    <w:rsid w:val="1A334E9B"/>
    <w:rsid w:val="1A3D4066"/>
    <w:rsid w:val="1A3D556D"/>
    <w:rsid w:val="1A422421"/>
    <w:rsid w:val="1A5149E9"/>
    <w:rsid w:val="1A532831"/>
    <w:rsid w:val="1A5336F2"/>
    <w:rsid w:val="1A562397"/>
    <w:rsid w:val="1A5846A0"/>
    <w:rsid w:val="1A591CA0"/>
    <w:rsid w:val="1A5B4BCF"/>
    <w:rsid w:val="1A5B75BD"/>
    <w:rsid w:val="1A5C1E8C"/>
    <w:rsid w:val="1A5E2541"/>
    <w:rsid w:val="1A684E92"/>
    <w:rsid w:val="1A70610F"/>
    <w:rsid w:val="1A7171D0"/>
    <w:rsid w:val="1A8A4647"/>
    <w:rsid w:val="1A91517D"/>
    <w:rsid w:val="1A9723B6"/>
    <w:rsid w:val="1AA04200"/>
    <w:rsid w:val="1AA30BFA"/>
    <w:rsid w:val="1AA34AA6"/>
    <w:rsid w:val="1AA93183"/>
    <w:rsid w:val="1AAC781B"/>
    <w:rsid w:val="1AB44A07"/>
    <w:rsid w:val="1AB55804"/>
    <w:rsid w:val="1AB71515"/>
    <w:rsid w:val="1AB93D4C"/>
    <w:rsid w:val="1AB952E0"/>
    <w:rsid w:val="1AC11F06"/>
    <w:rsid w:val="1AC2619E"/>
    <w:rsid w:val="1AC434F9"/>
    <w:rsid w:val="1AD41623"/>
    <w:rsid w:val="1AD92D6B"/>
    <w:rsid w:val="1ADA1B4E"/>
    <w:rsid w:val="1AED05E1"/>
    <w:rsid w:val="1AEF134B"/>
    <w:rsid w:val="1AF00F47"/>
    <w:rsid w:val="1AF046CF"/>
    <w:rsid w:val="1B074284"/>
    <w:rsid w:val="1B0B1052"/>
    <w:rsid w:val="1B222E42"/>
    <w:rsid w:val="1B24725D"/>
    <w:rsid w:val="1B2B048F"/>
    <w:rsid w:val="1B2D4F2D"/>
    <w:rsid w:val="1B301CAE"/>
    <w:rsid w:val="1B414DF5"/>
    <w:rsid w:val="1B4D4C2F"/>
    <w:rsid w:val="1B5752AC"/>
    <w:rsid w:val="1B585AB7"/>
    <w:rsid w:val="1B5A646D"/>
    <w:rsid w:val="1B67625B"/>
    <w:rsid w:val="1B695A1A"/>
    <w:rsid w:val="1B6B336B"/>
    <w:rsid w:val="1B8A679C"/>
    <w:rsid w:val="1B8C2F5A"/>
    <w:rsid w:val="1B8D3EF5"/>
    <w:rsid w:val="1B9055C2"/>
    <w:rsid w:val="1B9369D7"/>
    <w:rsid w:val="1B984111"/>
    <w:rsid w:val="1B9C027D"/>
    <w:rsid w:val="1B9E5564"/>
    <w:rsid w:val="1BAF5377"/>
    <w:rsid w:val="1BCB3B13"/>
    <w:rsid w:val="1BCC0B3A"/>
    <w:rsid w:val="1BCC3B17"/>
    <w:rsid w:val="1BDB57C2"/>
    <w:rsid w:val="1BE0775F"/>
    <w:rsid w:val="1BF149CB"/>
    <w:rsid w:val="1BF23A35"/>
    <w:rsid w:val="1BF6798D"/>
    <w:rsid w:val="1BFC2ACA"/>
    <w:rsid w:val="1BFD51C0"/>
    <w:rsid w:val="1C0B4EE0"/>
    <w:rsid w:val="1C180B6E"/>
    <w:rsid w:val="1C19483C"/>
    <w:rsid w:val="1C213008"/>
    <w:rsid w:val="1C24525B"/>
    <w:rsid w:val="1C25739C"/>
    <w:rsid w:val="1C2F3D51"/>
    <w:rsid w:val="1C347AE7"/>
    <w:rsid w:val="1C3709C2"/>
    <w:rsid w:val="1C40282B"/>
    <w:rsid w:val="1C5F48D0"/>
    <w:rsid w:val="1C684BE0"/>
    <w:rsid w:val="1C6D0FDE"/>
    <w:rsid w:val="1C73352D"/>
    <w:rsid w:val="1C7F0A0D"/>
    <w:rsid w:val="1C816ACA"/>
    <w:rsid w:val="1C883EE2"/>
    <w:rsid w:val="1C8A5704"/>
    <w:rsid w:val="1C8F2C6E"/>
    <w:rsid w:val="1C984EE8"/>
    <w:rsid w:val="1C993644"/>
    <w:rsid w:val="1C9D11D2"/>
    <w:rsid w:val="1CA30814"/>
    <w:rsid w:val="1CA411B8"/>
    <w:rsid w:val="1CA91C58"/>
    <w:rsid w:val="1CAF1665"/>
    <w:rsid w:val="1CBE1A22"/>
    <w:rsid w:val="1CC1478D"/>
    <w:rsid w:val="1CC86944"/>
    <w:rsid w:val="1CCB20A5"/>
    <w:rsid w:val="1CCE4466"/>
    <w:rsid w:val="1CD11261"/>
    <w:rsid w:val="1CD6675B"/>
    <w:rsid w:val="1CED15B5"/>
    <w:rsid w:val="1CF23DFC"/>
    <w:rsid w:val="1CF333E6"/>
    <w:rsid w:val="1D0565E2"/>
    <w:rsid w:val="1D130803"/>
    <w:rsid w:val="1D157911"/>
    <w:rsid w:val="1D170955"/>
    <w:rsid w:val="1D1C269E"/>
    <w:rsid w:val="1D2122A1"/>
    <w:rsid w:val="1D2357FD"/>
    <w:rsid w:val="1D24052A"/>
    <w:rsid w:val="1D2D51F1"/>
    <w:rsid w:val="1D37486F"/>
    <w:rsid w:val="1D3A7D4E"/>
    <w:rsid w:val="1D42071E"/>
    <w:rsid w:val="1D4856D1"/>
    <w:rsid w:val="1D5A0C54"/>
    <w:rsid w:val="1D5C4168"/>
    <w:rsid w:val="1D6320BA"/>
    <w:rsid w:val="1D677324"/>
    <w:rsid w:val="1D681413"/>
    <w:rsid w:val="1D69106E"/>
    <w:rsid w:val="1D6E2D29"/>
    <w:rsid w:val="1D843D4E"/>
    <w:rsid w:val="1D8C6A7E"/>
    <w:rsid w:val="1D8E167F"/>
    <w:rsid w:val="1DA20DA6"/>
    <w:rsid w:val="1DB057BD"/>
    <w:rsid w:val="1DB95872"/>
    <w:rsid w:val="1DC15568"/>
    <w:rsid w:val="1DC476CF"/>
    <w:rsid w:val="1DC77F7C"/>
    <w:rsid w:val="1DCB6F08"/>
    <w:rsid w:val="1DD0335C"/>
    <w:rsid w:val="1DD57D51"/>
    <w:rsid w:val="1DD71602"/>
    <w:rsid w:val="1DE106FA"/>
    <w:rsid w:val="1DE551AE"/>
    <w:rsid w:val="1DE57CB9"/>
    <w:rsid w:val="1DFC3B16"/>
    <w:rsid w:val="1DFD14A7"/>
    <w:rsid w:val="1E077895"/>
    <w:rsid w:val="1E096B47"/>
    <w:rsid w:val="1E0B7A38"/>
    <w:rsid w:val="1E144418"/>
    <w:rsid w:val="1E1E21E7"/>
    <w:rsid w:val="1E2566DA"/>
    <w:rsid w:val="1E2D48C4"/>
    <w:rsid w:val="1E32366D"/>
    <w:rsid w:val="1E3A413D"/>
    <w:rsid w:val="1E3C1D79"/>
    <w:rsid w:val="1E3F425E"/>
    <w:rsid w:val="1E4832F0"/>
    <w:rsid w:val="1E4B2A17"/>
    <w:rsid w:val="1E510853"/>
    <w:rsid w:val="1E594890"/>
    <w:rsid w:val="1E5A7CA4"/>
    <w:rsid w:val="1E635018"/>
    <w:rsid w:val="1E6C04C0"/>
    <w:rsid w:val="1E7177FA"/>
    <w:rsid w:val="1E740181"/>
    <w:rsid w:val="1E8079E2"/>
    <w:rsid w:val="1E814CED"/>
    <w:rsid w:val="1E8469F9"/>
    <w:rsid w:val="1E88172A"/>
    <w:rsid w:val="1E9C5BFF"/>
    <w:rsid w:val="1EA420FF"/>
    <w:rsid w:val="1EA66FDB"/>
    <w:rsid w:val="1EAD2E47"/>
    <w:rsid w:val="1EAE16ED"/>
    <w:rsid w:val="1EAE27A1"/>
    <w:rsid w:val="1EB12291"/>
    <w:rsid w:val="1ECC3FFD"/>
    <w:rsid w:val="1ED2384F"/>
    <w:rsid w:val="1ED441A2"/>
    <w:rsid w:val="1EDB225F"/>
    <w:rsid w:val="1EDC5F38"/>
    <w:rsid w:val="1EDD43FA"/>
    <w:rsid w:val="1EDF476D"/>
    <w:rsid w:val="1EE05BF9"/>
    <w:rsid w:val="1EE4747D"/>
    <w:rsid w:val="1EEA697A"/>
    <w:rsid w:val="1EEC0C5C"/>
    <w:rsid w:val="1EEE5549"/>
    <w:rsid w:val="1EF27B7B"/>
    <w:rsid w:val="1EF909FD"/>
    <w:rsid w:val="1F0D3297"/>
    <w:rsid w:val="1F147A0F"/>
    <w:rsid w:val="1F161D81"/>
    <w:rsid w:val="1F176E60"/>
    <w:rsid w:val="1F1F5EA2"/>
    <w:rsid w:val="1F231A08"/>
    <w:rsid w:val="1F262338"/>
    <w:rsid w:val="1F3134DE"/>
    <w:rsid w:val="1F353082"/>
    <w:rsid w:val="1F37018C"/>
    <w:rsid w:val="1F375B13"/>
    <w:rsid w:val="1F3D037B"/>
    <w:rsid w:val="1F446C62"/>
    <w:rsid w:val="1F504C1A"/>
    <w:rsid w:val="1F51433D"/>
    <w:rsid w:val="1F5500CB"/>
    <w:rsid w:val="1F565BFA"/>
    <w:rsid w:val="1F581604"/>
    <w:rsid w:val="1F6A2F89"/>
    <w:rsid w:val="1F6D044E"/>
    <w:rsid w:val="1F6E3CDF"/>
    <w:rsid w:val="1F6F2934"/>
    <w:rsid w:val="1F725879"/>
    <w:rsid w:val="1F726313"/>
    <w:rsid w:val="1F855BFF"/>
    <w:rsid w:val="1F8918C0"/>
    <w:rsid w:val="1F896D6A"/>
    <w:rsid w:val="1F8A437C"/>
    <w:rsid w:val="1F8F38F5"/>
    <w:rsid w:val="1F903C55"/>
    <w:rsid w:val="1F955544"/>
    <w:rsid w:val="1F9A340A"/>
    <w:rsid w:val="1FA15385"/>
    <w:rsid w:val="1FAB6BC2"/>
    <w:rsid w:val="1FAD19BA"/>
    <w:rsid w:val="1FB06ACB"/>
    <w:rsid w:val="1FB31A5F"/>
    <w:rsid w:val="1FBE1094"/>
    <w:rsid w:val="1FC24AF3"/>
    <w:rsid w:val="1FC93095"/>
    <w:rsid w:val="1FC97C87"/>
    <w:rsid w:val="1FCC023A"/>
    <w:rsid w:val="1FCE593E"/>
    <w:rsid w:val="1FD73351"/>
    <w:rsid w:val="1FDA5CF1"/>
    <w:rsid w:val="1FDE3F49"/>
    <w:rsid w:val="1FE715FA"/>
    <w:rsid w:val="1FE933AA"/>
    <w:rsid w:val="1FF2421B"/>
    <w:rsid w:val="1FF468DA"/>
    <w:rsid w:val="20021387"/>
    <w:rsid w:val="200A6E88"/>
    <w:rsid w:val="201051B9"/>
    <w:rsid w:val="201613EF"/>
    <w:rsid w:val="201A1AFF"/>
    <w:rsid w:val="201E3376"/>
    <w:rsid w:val="2021267D"/>
    <w:rsid w:val="20225914"/>
    <w:rsid w:val="20246175"/>
    <w:rsid w:val="20383FF4"/>
    <w:rsid w:val="2040794E"/>
    <w:rsid w:val="20451EFA"/>
    <w:rsid w:val="20460DDC"/>
    <w:rsid w:val="204D6F6C"/>
    <w:rsid w:val="20506C8E"/>
    <w:rsid w:val="205879D9"/>
    <w:rsid w:val="206B3216"/>
    <w:rsid w:val="206C678C"/>
    <w:rsid w:val="207A6FC2"/>
    <w:rsid w:val="207F3ABC"/>
    <w:rsid w:val="207F43D9"/>
    <w:rsid w:val="209128E5"/>
    <w:rsid w:val="209E2236"/>
    <w:rsid w:val="20A84AFD"/>
    <w:rsid w:val="20AA50F4"/>
    <w:rsid w:val="20B336D0"/>
    <w:rsid w:val="20B873F2"/>
    <w:rsid w:val="20CA786F"/>
    <w:rsid w:val="20D878C9"/>
    <w:rsid w:val="20DA452F"/>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8B6"/>
    <w:rsid w:val="21150ACD"/>
    <w:rsid w:val="211822BD"/>
    <w:rsid w:val="211A3117"/>
    <w:rsid w:val="211C60E8"/>
    <w:rsid w:val="211D6ED8"/>
    <w:rsid w:val="21365E4F"/>
    <w:rsid w:val="213D14CE"/>
    <w:rsid w:val="213D6F80"/>
    <w:rsid w:val="213F57A3"/>
    <w:rsid w:val="21432762"/>
    <w:rsid w:val="21591E72"/>
    <w:rsid w:val="215F5D66"/>
    <w:rsid w:val="216C2D04"/>
    <w:rsid w:val="21727433"/>
    <w:rsid w:val="219B228D"/>
    <w:rsid w:val="219C7087"/>
    <w:rsid w:val="219D2205"/>
    <w:rsid w:val="21A2770F"/>
    <w:rsid w:val="21AF4DC3"/>
    <w:rsid w:val="21C06F92"/>
    <w:rsid w:val="21C376D3"/>
    <w:rsid w:val="21C80FDC"/>
    <w:rsid w:val="21C84E9E"/>
    <w:rsid w:val="21CB5CF6"/>
    <w:rsid w:val="21D51AA2"/>
    <w:rsid w:val="21E5632B"/>
    <w:rsid w:val="21F01F4E"/>
    <w:rsid w:val="21F143E4"/>
    <w:rsid w:val="21F718D2"/>
    <w:rsid w:val="220643AF"/>
    <w:rsid w:val="22077889"/>
    <w:rsid w:val="220C644E"/>
    <w:rsid w:val="220F06E1"/>
    <w:rsid w:val="22104944"/>
    <w:rsid w:val="22121D33"/>
    <w:rsid w:val="2225695B"/>
    <w:rsid w:val="222B4A26"/>
    <w:rsid w:val="22302B7C"/>
    <w:rsid w:val="22316996"/>
    <w:rsid w:val="22371336"/>
    <w:rsid w:val="223B07F0"/>
    <w:rsid w:val="224374A9"/>
    <w:rsid w:val="224503BF"/>
    <w:rsid w:val="224944DA"/>
    <w:rsid w:val="224C1EE4"/>
    <w:rsid w:val="224E5006"/>
    <w:rsid w:val="224F3E1E"/>
    <w:rsid w:val="225C26E5"/>
    <w:rsid w:val="225F71CC"/>
    <w:rsid w:val="226E0F46"/>
    <w:rsid w:val="22821F7B"/>
    <w:rsid w:val="228869BB"/>
    <w:rsid w:val="228B7D1B"/>
    <w:rsid w:val="2291314E"/>
    <w:rsid w:val="22A063EE"/>
    <w:rsid w:val="22A25F66"/>
    <w:rsid w:val="22AD2D70"/>
    <w:rsid w:val="22B07A98"/>
    <w:rsid w:val="22BA1569"/>
    <w:rsid w:val="22BB1853"/>
    <w:rsid w:val="22BB5447"/>
    <w:rsid w:val="22CC31F6"/>
    <w:rsid w:val="22D25A98"/>
    <w:rsid w:val="22D51866"/>
    <w:rsid w:val="22E305BB"/>
    <w:rsid w:val="22E70C69"/>
    <w:rsid w:val="22EE7034"/>
    <w:rsid w:val="23113D47"/>
    <w:rsid w:val="23145EBD"/>
    <w:rsid w:val="23165796"/>
    <w:rsid w:val="23167EA3"/>
    <w:rsid w:val="231908F9"/>
    <w:rsid w:val="231B17F9"/>
    <w:rsid w:val="231C4F6B"/>
    <w:rsid w:val="231F5E4E"/>
    <w:rsid w:val="23342AFF"/>
    <w:rsid w:val="23372C61"/>
    <w:rsid w:val="23386ADD"/>
    <w:rsid w:val="233A304E"/>
    <w:rsid w:val="23491976"/>
    <w:rsid w:val="234D6E93"/>
    <w:rsid w:val="235511EA"/>
    <w:rsid w:val="23644A96"/>
    <w:rsid w:val="23690609"/>
    <w:rsid w:val="237A3E4E"/>
    <w:rsid w:val="237E1230"/>
    <w:rsid w:val="23894D3E"/>
    <w:rsid w:val="238A29AB"/>
    <w:rsid w:val="238F40D9"/>
    <w:rsid w:val="23933508"/>
    <w:rsid w:val="239504D4"/>
    <w:rsid w:val="23950A3C"/>
    <w:rsid w:val="239D4B92"/>
    <w:rsid w:val="23A92C60"/>
    <w:rsid w:val="23AE700C"/>
    <w:rsid w:val="23B03FD9"/>
    <w:rsid w:val="23BA7F5A"/>
    <w:rsid w:val="23C12F77"/>
    <w:rsid w:val="23C13739"/>
    <w:rsid w:val="23E11DA2"/>
    <w:rsid w:val="23E235B0"/>
    <w:rsid w:val="23E7247A"/>
    <w:rsid w:val="23F21382"/>
    <w:rsid w:val="23F25ED7"/>
    <w:rsid w:val="23F66BE1"/>
    <w:rsid w:val="23FA5589"/>
    <w:rsid w:val="23FF341B"/>
    <w:rsid w:val="23FF3A34"/>
    <w:rsid w:val="24030351"/>
    <w:rsid w:val="24044813"/>
    <w:rsid w:val="2405725A"/>
    <w:rsid w:val="240D2E7E"/>
    <w:rsid w:val="2414034D"/>
    <w:rsid w:val="241C508B"/>
    <w:rsid w:val="241F3B4A"/>
    <w:rsid w:val="242505F8"/>
    <w:rsid w:val="2428389C"/>
    <w:rsid w:val="242C5780"/>
    <w:rsid w:val="24307501"/>
    <w:rsid w:val="2439617A"/>
    <w:rsid w:val="24477837"/>
    <w:rsid w:val="244A2922"/>
    <w:rsid w:val="245005B3"/>
    <w:rsid w:val="24566343"/>
    <w:rsid w:val="24661A7D"/>
    <w:rsid w:val="247339F1"/>
    <w:rsid w:val="247633A6"/>
    <w:rsid w:val="248169C6"/>
    <w:rsid w:val="248F4D47"/>
    <w:rsid w:val="24934502"/>
    <w:rsid w:val="24940315"/>
    <w:rsid w:val="249604BE"/>
    <w:rsid w:val="24A31E88"/>
    <w:rsid w:val="24A3267C"/>
    <w:rsid w:val="24C504EE"/>
    <w:rsid w:val="24D14521"/>
    <w:rsid w:val="24D33930"/>
    <w:rsid w:val="24D97651"/>
    <w:rsid w:val="24E164AF"/>
    <w:rsid w:val="24E41B08"/>
    <w:rsid w:val="24E65466"/>
    <w:rsid w:val="24E65BC6"/>
    <w:rsid w:val="24E944A8"/>
    <w:rsid w:val="24F54BAD"/>
    <w:rsid w:val="24F61130"/>
    <w:rsid w:val="24FC5064"/>
    <w:rsid w:val="250A3128"/>
    <w:rsid w:val="250B6C88"/>
    <w:rsid w:val="250D16FB"/>
    <w:rsid w:val="25207316"/>
    <w:rsid w:val="252C18BF"/>
    <w:rsid w:val="252F052A"/>
    <w:rsid w:val="25373204"/>
    <w:rsid w:val="253A1C68"/>
    <w:rsid w:val="253C7281"/>
    <w:rsid w:val="253F23A5"/>
    <w:rsid w:val="253F3BFC"/>
    <w:rsid w:val="25416AA5"/>
    <w:rsid w:val="255045B2"/>
    <w:rsid w:val="25551F1D"/>
    <w:rsid w:val="255A4BBE"/>
    <w:rsid w:val="255C0629"/>
    <w:rsid w:val="255E4A9F"/>
    <w:rsid w:val="25627611"/>
    <w:rsid w:val="25636FED"/>
    <w:rsid w:val="25645A54"/>
    <w:rsid w:val="25664A09"/>
    <w:rsid w:val="25684A78"/>
    <w:rsid w:val="25772EBB"/>
    <w:rsid w:val="25783B09"/>
    <w:rsid w:val="257A7A06"/>
    <w:rsid w:val="257F0628"/>
    <w:rsid w:val="25832019"/>
    <w:rsid w:val="25867FD4"/>
    <w:rsid w:val="25897AC4"/>
    <w:rsid w:val="259331FE"/>
    <w:rsid w:val="25957FF8"/>
    <w:rsid w:val="25A149AC"/>
    <w:rsid w:val="25A37F2D"/>
    <w:rsid w:val="25AE6649"/>
    <w:rsid w:val="25AF3F32"/>
    <w:rsid w:val="25B22A3B"/>
    <w:rsid w:val="25BA2D11"/>
    <w:rsid w:val="25BB0A54"/>
    <w:rsid w:val="25C654B7"/>
    <w:rsid w:val="25C76E87"/>
    <w:rsid w:val="25CE7B6E"/>
    <w:rsid w:val="25D97596"/>
    <w:rsid w:val="25E37902"/>
    <w:rsid w:val="25F044F9"/>
    <w:rsid w:val="25F0774C"/>
    <w:rsid w:val="25F74971"/>
    <w:rsid w:val="25F923FB"/>
    <w:rsid w:val="26040109"/>
    <w:rsid w:val="26061962"/>
    <w:rsid w:val="260F672F"/>
    <w:rsid w:val="26175540"/>
    <w:rsid w:val="26200FD2"/>
    <w:rsid w:val="26203127"/>
    <w:rsid w:val="262C56B0"/>
    <w:rsid w:val="262E6827"/>
    <w:rsid w:val="262F455F"/>
    <w:rsid w:val="262F7D17"/>
    <w:rsid w:val="263A525F"/>
    <w:rsid w:val="263E6C87"/>
    <w:rsid w:val="2642755C"/>
    <w:rsid w:val="264A0CB7"/>
    <w:rsid w:val="26507D69"/>
    <w:rsid w:val="2651011A"/>
    <w:rsid w:val="26590788"/>
    <w:rsid w:val="265D1B10"/>
    <w:rsid w:val="26640280"/>
    <w:rsid w:val="26664CB6"/>
    <w:rsid w:val="266D04E0"/>
    <w:rsid w:val="267D0DD4"/>
    <w:rsid w:val="2681373E"/>
    <w:rsid w:val="26900E65"/>
    <w:rsid w:val="269308F5"/>
    <w:rsid w:val="26A0140A"/>
    <w:rsid w:val="26A05ED5"/>
    <w:rsid w:val="26A4480F"/>
    <w:rsid w:val="26AB027E"/>
    <w:rsid w:val="26AE73BF"/>
    <w:rsid w:val="26B21017"/>
    <w:rsid w:val="26B3402C"/>
    <w:rsid w:val="26BD3478"/>
    <w:rsid w:val="26C07B38"/>
    <w:rsid w:val="26C22FBF"/>
    <w:rsid w:val="26C5427E"/>
    <w:rsid w:val="26C91AA2"/>
    <w:rsid w:val="26C92A6E"/>
    <w:rsid w:val="26CB5BEC"/>
    <w:rsid w:val="26D17EE9"/>
    <w:rsid w:val="26D26B3A"/>
    <w:rsid w:val="26D7660D"/>
    <w:rsid w:val="26E70819"/>
    <w:rsid w:val="26E72CF4"/>
    <w:rsid w:val="26EF6A4F"/>
    <w:rsid w:val="26F614FF"/>
    <w:rsid w:val="27085698"/>
    <w:rsid w:val="27167C04"/>
    <w:rsid w:val="2722517B"/>
    <w:rsid w:val="2726309C"/>
    <w:rsid w:val="272846FE"/>
    <w:rsid w:val="27325E70"/>
    <w:rsid w:val="27341B93"/>
    <w:rsid w:val="27430D53"/>
    <w:rsid w:val="27437ADB"/>
    <w:rsid w:val="27537702"/>
    <w:rsid w:val="27561C28"/>
    <w:rsid w:val="27637ED8"/>
    <w:rsid w:val="27644968"/>
    <w:rsid w:val="276500BD"/>
    <w:rsid w:val="276550C2"/>
    <w:rsid w:val="27661057"/>
    <w:rsid w:val="276A77BD"/>
    <w:rsid w:val="276E59C1"/>
    <w:rsid w:val="277300A1"/>
    <w:rsid w:val="27752950"/>
    <w:rsid w:val="278611AA"/>
    <w:rsid w:val="278B23EE"/>
    <w:rsid w:val="27911388"/>
    <w:rsid w:val="279657AA"/>
    <w:rsid w:val="2798045F"/>
    <w:rsid w:val="279C7ABE"/>
    <w:rsid w:val="27A11A16"/>
    <w:rsid w:val="27A209C9"/>
    <w:rsid w:val="27AA0707"/>
    <w:rsid w:val="27AE5060"/>
    <w:rsid w:val="27B10B24"/>
    <w:rsid w:val="27B52D32"/>
    <w:rsid w:val="27C22234"/>
    <w:rsid w:val="27C817BE"/>
    <w:rsid w:val="27CB6172"/>
    <w:rsid w:val="27D30046"/>
    <w:rsid w:val="27D4336A"/>
    <w:rsid w:val="27DC04B7"/>
    <w:rsid w:val="27EA0981"/>
    <w:rsid w:val="27F60128"/>
    <w:rsid w:val="27FE3352"/>
    <w:rsid w:val="280214E5"/>
    <w:rsid w:val="280331A3"/>
    <w:rsid w:val="28033B5E"/>
    <w:rsid w:val="28100970"/>
    <w:rsid w:val="28130FC3"/>
    <w:rsid w:val="281C5C13"/>
    <w:rsid w:val="28242AFE"/>
    <w:rsid w:val="282840F4"/>
    <w:rsid w:val="282D4DA2"/>
    <w:rsid w:val="284327FC"/>
    <w:rsid w:val="284661A2"/>
    <w:rsid w:val="28475844"/>
    <w:rsid w:val="284763CA"/>
    <w:rsid w:val="284851F6"/>
    <w:rsid w:val="284C1CF1"/>
    <w:rsid w:val="285259C3"/>
    <w:rsid w:val="285570E5"/>
    <w:rsid w:val="286041A8"/>
    <w:rsid w:val="286F0F65"/>
    <w:rsid w:val="287721BE"/>
    <w:rsid w:val="28810C2F"/>
    <w:rsid w:val="28832153"/>
    <w:rsid w:val="28876550"/>
    <w:rsid w:val="288C402F"/>
    <w:rsid w:val="288C615D"/>
    <w:rsid w:val="289A71C9"/>
    <w:rsid w:val="28AE04A9"/>
    <w:rsid w:val="28AF56E0"/>
    <w:rsid w:val="28BF2E88"/>
    <w:rsid w:val="28CA642A"/>
    <w:rsid w:val="28DC615D"/>
    <w:rsid w:val="28E35480"/>
    <w:rsid w:val="28EE01A4"/>
    <w:rsid w:val="28F364BD"/>
    <w:rsid w:val="28F5415C"/>
    <w:rsid w:val="2902495E"/>
    <w:rsid w:val="29034D8E"/>
    <w:rsid w:val="2903673E"/>
    <w:rsid w:val="290D640A"/>
    <w:rsid w:val="2916341D"/>
    <w:rsid w:val="29177E97"/>
    <w:rsid w:val="291A4C7E"/>
    <w:rsid w:val="291F0427"/>
    <w:rsid w:val="292B2DD6"/>
    <w:rsid w:val="29350B97"/>
    <w:rsid w:val="293C79A7"/>
    <w:rsid w:val="29454D6E"/>
    <w:rsid w:val="294F4DA4"/>
    <w:rsid w:val="295449EC"/>
    <w:rsid w:val="29554FB8"/>
    <w:rsid w:val="29580A24"/>
    <w:rsid w:val="29591EF6"/>
    <w:rsid w:val="295D23DB"/>
    <w:rsid w:val="2969051B"/>
    <w:rsid w:val="296F263E"/>
    <w:rsid w:val="297172A8"/>
    <w:rsid w:val="2983564B"/>
    <w:rsid w:val="2986365A"/>
    <w:rsid w:val="29897F36"/>
    <w:rsid w:val="298F2D60"/>
    <w:rsid w:val="299A5939"/>
    <w:rsid w:val="299E2EE4"/>
    <w:rsid w:val="29A0654A"/>
    <w:rsid w:val="29AA12A8"/>
    <w:rsid w:val="29AC03B5"/>
    <w:rsid w:val="29B90F1F"/>
    <w:rsid w:val="29BE4929"/>
    <w:rsid w:val="29BE52CE"/>
    <w:rsid w:val="29DB2E13"/>
    <w:rsid w:val="29DB795F"/>
    <w:rsid w:val="29DF3FB6"/>
    <w:rsid w:val="29F43C64"/>
    <w:rsid w:val="29FA25C8"/>
    <w:rsid w:val="29FD19B7"/>
    <w:rsid w:val="2A04596B"/>
    <w:rsid w:val="2A0A232D"/>
    <w:rsid w:val="2A112438"/>
    <w:rsid w:val="2A113E76"/>
    <w:rsid w:val="2A1808B1"/>
    <w:rsid w:val="2A1C72FC"/>
    <w:rsid w:val="2A1E7273"/>
    <w:rsid w:val="2A2A3042"/>
    <w:rsid w:val="2A4A5617"/>
    <w:rsid w:val="2A4E0052"/>
    <w:rsid w:val="2A5A55D9"/>
    <w:rsid w:val="2A600C3F"/>
    <w:rsid w:val="2A6021EF"/>
    <w:rsid w:val="2A603070"/>
    <w:rsid w:val="2A68057B"/>
    <w:rsid w:val="2A681EB6"/>
    <w:rsid w:val="2A6D6D04"/>
    <w:rsid w:val="2A7A5040"/>
    <w:rsid w:val="2A924D25"/>
    <w:rsid w:val="2A94612D"/>
    <w:rsid w:val="2A9A4051"/>
    <w:rsid w:val="2A9C2048"/>
    <w:rsid w:val="2A9C5B40"/>
    <w:rsid w:val="2AA11C46"/>
    <w:rsid w:val="2AA400F4"/>
    <w:rsid w:val="2AA45E35"/>
    <w:rsid w:val="2AA66A22"/>
    <w:rsid w:val="2AAC54BB"/>
    <w:rsid w:val="2AB24C8B"/>
    <w:rsid w:val="2AB57FF9"/>
    <w:rsid w:val="2ABA6371"/>
    <w:rsid w:val="2AC329D5"/>
    <w:rsid w:val="2ACC28DA"/>
    <w:rsid w:val="2ACC7B98"/>
    <w:rsid w:val="2AD855B7"/>
    <w:rsid w:val="2ADC1B63"/>
    <w:rsid w:val="2AE07F71"/>
    <w:rsid w:val="2AE11D66"/>
    <w:rsid w:val="2AEA5E00"/>
    <w:rsid w:val="2AEB102F"/>
    <w:rsid w:val="2AF24307"/>
    <w:rsid w:val="2AF24565"/>
    <w:rsid w:val="2AFA470A"/>
    <w:rsid w:val="2AFB2B16"/>
    <w:rsid w:val="2B0C20F7"/>
    <w:rsid w:val="2B0F5533"/>
    <w:rsid w:val="2B1B65B9"/>
    <w:rsid w:val="2B1C282C"/>
    <w:rsid w:val="2B1F31E7"/>
    <w:rsid w:val="2B2706A2"/>
    <w:rsid w:val="2B274543"/>
    <w:rsid w:val="2B28252F"/>
    <w:rsid w:val="2B2C0C53"/>
    <w:rsid w:val="2B2F4314"/>
    <w:rsid w:val="2B341B90"/>
    <w:rsid w:val="2B361E34"/>
    <w:rsid w:val="2B3C2FC4"/>
    <w:rsid w:val="2B45579C"/>
    <w:rsid w:val="2B461FAE"/>
    <w:rsid w:val="2B4D31F0"/>
    <w:rsid w:val="2B4F71D5"/>
    <w:rsid w:val="2B527EE3"/>
    <w:rsid w:val="2B5433AC"/>
    <w:rsid w:val="2B580D2F"/>
    <w:rsid w:val="2B581625"/>
    <w:rsid w:val="2B5E1A74"/>
    <w:rsid w:val="2B614C84"/>
    <w:rsid w:val="2B667187"/>
    <w:rsid w:val="2B6B6CC8"/>
    <w:rsid w:val="2B6F75C5"/>
    <w:rsid w:val="2B7D4228"/>
    <w:rsid w:val="2B7D5456"/>
    <w:rsid w:val="2B8133D4"/>
    <w:rsid w:val="2B8B70C4"/>
    <w:rsid w:val="2B9576E2"/>
    <w:rsid w:val="2B970926"/>
    <w:rsid w:val="2B985550"/>
    <w:rsid w:val="2B9A4D5A"/>
    <w:rsid w:val="2B9F7EC3"/>
    <w:rsid w:val="2BA41CAA"/>
    <w:rsid w:val="2BA45400"/>
    <w:rsid w:val="2BBA0680"/>
    <w:rsid w:val="2BC2082C"/>
    <w:rsid w:val="2BCA259D"/>
    <w:rsid w:val="2BD25B6F"/>
    <w:rsid w:val="2BE375A3"/>
    <w:rsid w:val="2BEC51D8"/>
    <w:rsid w:val="2BEF1A87"/>
    <w:rsid w:val="2BF0661C"/>
    <w:rsid w:val="2BF34343"/>
    <w:rsid w:val="2BF521A3"/>
    <w:rsid w:val="2BFB4B40"/>
    <w:rsid w:val="2C01687B"/>
    <w:rsid w:val="2C0368C6"/>
    <w:rsid w:val="2C05500E"/>
    <w:rsid w:val="2C0E7DCF"/>
    <w:rsid w:val="2C1134D0"/>
    <w:rsid w:val="2C172BF1"/>
    <w:rsid w:val="2C237B59"/>
    <w:rsid w:val="2C246940"/>
    <w:rsid w:val="2C25692B"/>
    <w:rsid w:val="2C290D81"/>
    <w:rsid w:val="2C2E78B5"/>
    <w:rsid w:val="2C387203"/>
    <w:rsid w:val="2C387B4E"/>
    <w:rsid w:val="2C3C1EC1"/>
    <w:rsid w:val="2C42462B"/>
    <w:rsid w:val="2C455E0C"/>
    <w:rsid w:val="2C4F7878"/>
    <w:rsid w:val="2C542CA5"/>
    <w:rsid w:val="2C5B41CA"/>
    <w:rsid w:val="2C704F2D"/>
    <w:rsid w:val="2C7D7C5E"/>
    <w:rsid w:val="2C7F23AB"/>
    <w:rsid w:val="2C894860"/>
    <w:rsid w:val="2C8A6306"/>
    <w:rsid w:val="2CA350BE"/>
    <w:rsid w:val="2CA423D8"/>
    <w:rsid w:val="2CA50223"/>
    <w:rsid w:val="2CA96082"/>
    <w:rsid w:val="2CB64096"/>
    <w:rsid w:val="2CB85977"/>
    <w:rsid w:val="2CBB5644"/>
    <w:rsid w:val="2CBE1462"/>
    <w:rsid w:val="2CC44205"/>
    <w:rsid w:val="2CC47DED"/>
    <w:rsid w:val="2CCF5DDE"/>
    <w:rsid w:val="2CD3710B"/>
    <w:rsid w:val="2CD535EF"/>
    <w:rsid w:val="2CD569DE"/>
    <w:rsid w:val="2CD86730"/>
    <w:rsid w:val="2CDB0944"/>
    <w:rsid w:val="2CE27267"/>
    <w:rsid w:val="2CE67B48"/>
    <w:rsid w:val="2CE74D39"/>
    <w:rsid w:val="2CE8150A"/>
    <w:rsid w:val="2CF11CBF"/>
    <w:rsid w:val="2CF20BDC"/>
    <w:rsid w:val="2CF33FD4"/>
    <w:rsid w:val="2CFA6898"/>
    <w:rsid w:val="2D016444"/>
    <w:rsid w:val="2D0B00A7"/>
    <w:rsid w:val="2D0B6221"/>
    <w:rsid w:val="2D12077C"/>
    <w:rsid w:val="2D193406"/>
    <w:rsid w:val="2D194138"/>
    <w:rsid w:val="2D270FD0"/>
    <w:rsid w:val="2D277EFB"/>
    <w:rsid w:val="2D31047C"/>
    <w:rsid w:val="2D3178DC"/>
    <w:rsid w:val="2D320A41"/>
    <w:rsid w:val="2D324DB9"/>
    <w:rsid w:val="2D345AA6"/>
    <w:rsid w:val="2D4E3F0C"/>
    <w:rsid w:val="2D61111D"/>
    <w:rsid w:val="2D623B8D"/>
    <w:rsid w:val="2D646B9E"/>
    <w:rsid w:val="2D700E9E"/>
    <w:rsid w:val="2D7647BC"/>
    <w:rsid w:val="2D855815"/>
    <w:rsid w:val="2D856DC3"/>
    <w:rsid w:val="2D8C13F0"/>
    <w:rsid w:val="2D976683"/>
    <w:rsid w:val="2D977534"/>
    <w:rsid w:val="2D9B7AEB"/>
    <w:rsid w:val="2DA90D03"/>
    <w:rsid w:val="2DA93130"/>
    <w:rsid w:val="2DAC49C5"/>
    <w:rsid w:val="2DB27C81"/>
    <w:rsid w:val="2DB70397"/>
    <w:rsid w:val="2DC25921"/>
    <w:rsid w:val="2DCB3D94"/>
    <w:rsid w:val="2DDD5CFF"/>
    <w:rsid w:val="2DDF7B52"/>
    <w:rsid w:val="2DE35338"/>
    <w:rsid w:val="2DE40CFC"/>
    <w:rsid w:val="2DE53689"/>
    <w:rsid w:val="2E051CB2"/>
    <w:rsid w:val="2E0F1F02"/>
    <w:rsid w:val="2E113FBC"/>
    <w:rsid w:val="2E137ADD"/>
    <w:rsid w:val="2E194F3D"/>
    <w:rsid w:val="2E2E5E39"/>
    <w:rsid w:val="2E3E0198"/>
    <w:rsid w:val="2E3F0BEE"/>
    <w:rsid w:val="2E446703"/>
    <w:rsid w:val="2E560939"/>
    <w:rsid w:val="2E574D85"/>
    <w:rsid w:val="2E5A7CD6"/>
    <w:rsid w:val="2E5E648E"/>
    <w:rsid w:val="2E735C49"/>
    <w:rsid w:val="2E790DE1"/>
    <w:rsid w:val="2E7D7C1F"/>
    <w:rsid w:val="2E802E66"/>
    <w:rsid w:val="2E8452CD"/>
    <w:rsid w:val="2E85222C"/>
    <w:rsid w:val="2E8665B7"/>
    <w:rsid w:val="2E9136EE"/>
    <w:rsid w:val="2E9E4BCA"/>
    <w:rsid w:val="2EB61C7F"/>
    <w:rsid w:val="2EC56BE5"/>
    <w:rsid w:val="2EDC2A13"/>
    <w:rsid w:val="2EE20386"/>
    <w:rsid w:val="2EF00893"/>
    <w:rsid w:val="2EF82AEC"/>
    <w:rsid w:val="2EFE3E2D"/>
    <w:rsid w:val="2EFF3E52"/>
    <w:rsid w:val="2F08433B"/>
    <w:rsid w:val="2F0D7AB0"/>
    <w:rsid w:val="2F136646"/>
    <w:rsid w:val="2F1B1577"/>
    <w:rsid w:val="2F34595E"/>
    <w:rsid w:val="2F363704"/>
    <w:rsid w:val="2F502E1A"/>
    <w:rsid w:val="2F61762B"/>
    <w:rsid w:val="2F690CA0"/>
    <w:rsid w:val="2F6A2071"/>
    <w:rsid w:val="2F6D6EC4"/>
    <w:rsid w:val="2F7002C7"/>
    <w:rsid w:val="2F715851"/>
    <w:rsid w:val="2F730662"/>
    <w:rsid w:val="2F846F0C"/>
    <w:rsid w:val="2F853097"/>
    <w:rsid w:val="2F8F26F5"/>
    <w:rsid w:val="2F941189"/>
    <w:rsid w:val="2F962068"/>
    <w:rsid w:val="2F98045E"/>
    <w:rsid w:val="2F9E5E02"/>
    <w:rsid w:val="2FA03F40"/>
    <w:rsid w:val="2FA87A96"/>
    <w:rsid w:val="2FA92ACB"/>
    <w:rsid w:val="2FB30E01"/>
    <w:rsid w:val="2FBC3413"/>
    <w:rsid w:val="2FC12E0D"/>
    <w:rsid w:val="2FC57321"/>
    <w:rsid w:val="2FD32C7E"/>
    <w:rsid w:val="2FD3657A"/>
    <w:rsid w:val="2FDB53C0"/>
    <w:rsid w:val="2FDD2E8E"/>
    <w:rsid w:val="2FDE3125"/>
    <w:rsid w:val="2FE505AF"/>
    <w:rsid w:val="2FE96982"/>
    <w:rsid w:val="2FED2320"/>
    <w:rsid w:val="2FF3094F"/>
    <w:rsid w:val="2FF954CE"/>
    <w:rsid w:val="2FFD0C0E"/>
    <w:rsid w:val="2FFF2318"/>
    <w:rsid w:val="3005243D"/>
    <w:rsid w:val="30091C4C"/>
    <w:rsid w:val="300A7CA0"/>
    <w:rsid w:val="300D20E3"/>
    <w:rsid w:val="300D36B9"/>
    <w:rsid w:val="300F3090"/>
    <w:rsid w:val="3013125C"/>
    <w:rsid w:val="30143FA7"/>
    <w:rsid w:val="301B2328"/>
    <w:rsid w:val="302241FA"/>
    <w:rsid w:val="30225849"/>
    <w:rsid w:val="30253FFF"/>
    <w:rsid w:val="30275F10"/>
    <w:rsid w:val="302C31E0"/>
    <w:rsid w:val="30322E5C"/>
    <w:rsid w:val="30353943"/>
    <w:rsid w:val="30396D27"/>
    <w:rsid w:val="3044003E"/>
    <w:rsid w:val="30455CDD"/>
    <w:rsid w:val="30505F70"/>
    <w:rsid w:val="305703F6"/>
    <w:rsid w:val="305E4539"/>
    <w:rsid w:val="30611D57"/>
    <w:rsid w:val="30645CFC"/>
    <w:rsid w:val="30665E9F"/>
    <w:rsid w:val="30675208"/>
    <w:rsid w:val="3069477A"/>
    <w:rsid w:val="306A5C04"/>
    <w:rsid w:val="306C7EFE"/>
    <w:rsid w:val="3072328C"/>
    <w:rsid w:val="30787874"/>
    <w:rsid w:val="307D24DF"/>
    <w:rsid w:val="307F46F5"/>
    <w:rsid w:val="30833D57"/>
    <w:rsid w:val="308F7952"/>
    <w:rsid w:val="30A57B99"/>
    <w:rsid w:val="30AB4B84"/>
    <w:rsid w:val="30B141D5"/>
    <w:rsid w:val="30B556A1"/>
    <w:rsid w:val="30B75ACB"/>
    <w:rsid w:val="30B97331"/>
    <w:rsid w:val="30BA6D63"/>
    <w:rsid w:val="30BB7213"/>
    <w:rsid w:val="30C23A3B"/>
    <w:rsid w:val="30C85E83"/>
    <w:rsid w:val="30D6503C"/>
    <w:rsid w:val="30DE6F2C"/>
    <w:rsid w:val="30E24933"/>
    <w:rsid w:val="30E9446C"/>
    <w:rsid w:val="30ED69B7"/>
    <w:rsid w:val="30F00CFD"/>
    <w:rsid w:val="30F5319F"/>
    <w:rsid w:val="30F5334F"/>
    <w:rsid w:val="30F859A5"/>
    <w:rsid w:val="30FD7DD0"/>
    <w:rsid w:val="31083396"/>
    <w:rsid w:val="310C35ED"/>
    <w:rsid w:val="310D031B"/>
    <w:rsid w:val="310D2AD3"/>
    <w:rsid w:val="310E0577"/>
    <w:rsid w:val="310F7ED7"/>
    <w:rsid w:val="31186793"/>
    <w:rsid w:val="31353564"/>
    <w:rsid w:val="313B3958"/>
    <w:rsid w:val="31496258"/>
    <w:rsid w:val="31497A56"/>
    <w:rsid w:val="314B0B14"/>
    <w:rsid w:val="31594B69"/>
    <w:rsid w:val="315B0515"/>
    <w:rsid w:val="31603DCF"/>
    <w:rsid w:val="31607AF5"/>
    <w:rsid w:val="316B6CEE"/>
    <w:rsid w:val="31705839"/>
    <w:rsid w:val="317B1DAA"/>
    <w:rsid w:val="3182440D"/>
    <w:rsid w:val="31881438"/>
    <w:rsid w:val="318C3787"/>
    <w:rsid w:val="31913A69"/>
    <w:rsid w:val="31922F44"/>
    <w:rsid w:val="319B3CAA"/>
    <w:rsid w:val="319C66CB"/>
    <w:rsid w:val="31A474A9"/>
    <w:rsid w:val="31A75E40"/>
    <w:rsid w:val="31AE3F12"/>
    <w:rsid w:val="31B01187"/>
    <w:rsid w:val="31B36D87"/>
    <w:rsid w:val="31B41A25"/>
    <w:rsid w:val="31B70966"/>
    <w:rsid w:val="31C71E91"/>
    <w:rsid w:val="31DA7CEA"/>
    <w:rsid w:val="31ED3136"/>
    <w:rsid w:val="31FD406A"/>
    <w:rsid w:val="31FE2FC8"/>
    <w:rsid w:val="31FE62BE"/>
    <w:rsid w:val="3204711A"/>
    <w:rsid w:val="32066C5B"/>
    <w:rsid w:val="320B703A"/>
    <w:rsid w:val="3214416F"/>
    <w:rsid w:val="3216466A"/>
    <w:rsid w:val="321743EE"/>
    <w:rsid w:val="321C7DE3"/>
    <w:rsid w:val="32415501"/>
    <w:rsid w:val="324276A3"/>
    <w:rsid w:val="32440A8B"/>
    <w:rsid w:val="324639D0"/>
    <w:rsid w:val="32472605"/>
    <w:rsid w:val="32484049"/>
    <w:rsid w:val="325719E8"/>
    <w:rsid w:val="325E0536"/>
    <w:rsid w:val="325E6DEC"/>
    <w:rsid w:val="326170B4"/>
    <w:rsid w:val="3264531C"/>
    <w:rsid w:val="32665466"/>
    <w:rsid w:val="326A6587"/>
    <w:rsid w:val="326B38EB"/>
    <w:rsid w:val="327D79D8"/>
    <w:rsid w:val="32892A4B"/>
    <w:rsid w:val="3292135D"/>
    <w:rsid w:val="329D7AB9"/>
    <w:rsid w:val="32AB0069"/>
    <w:rsid w:val="32AC094E"/>
    <w:rsid w:val="32B731AA"/>
    <w:rsid w:val="32B736BD"/>
    <w:rsid w:val="32B75AFA"/>
    <w:rsid w:val="32B865A2"/>
    <w:rsid w:val="32BD6FFF"/>
    <w:rsid w:val="32BE6E92"/>
    <w:rsid w:val="32DF641E"/>
    <w:rsid w:val="32E70824"/>
    <w:rsid w:val="32EB0336"/>
    <w:rsid w:val="32F10A57"/>
    <w:rsid w:val="32F20BF9"/>
    <w:rsid w:val="32FE6CC1"/>
    <w:rsid w:val="330156B1"/>
    <w:rsid w:val="3303044C"/>
    <w:rsid w:val="3305419C"/>
    <w:rsid w:val="330973CB"/>
    <w:rsid w:val="330E2F53"/>
    <w:rsid w:val="33114756"/>
    <w:rsid w:val="331F2416"/>
    <w:rsid w:val="33291ECF"/>
    <w:rsid w:val="3337290D"/>
    <w:rsid w:val="333B39A9"/>
    <w:rsid w:val="33422255"/>
    <w:rsid w:val="33435FD9"/>
    <w:rsid w:val="3345063A"/>
    <w:rsid w:val="33461261"/>
    <w:rsid w:val="33482D94"/>
    <w:rsid w:val="335121B9"/>
    <w:rsid w:val="33554305"/>
    <w:rsid w:val="335544F7"/>
    <w:rsid w:val="335E7AF0"/>
    <w:rsid w:val="3371608F"/>
    <w:rsid w:val="337640FC"/>
    <w:rsid w:val="337829B0"/>
    <w:rsid w:val="337A0742"/>
    <w:rsid w:val="337B19F6"/>
    <w:rsid w:val="337C0BAD"/>
    <w:rsid w:val="337C643D"/>
    <w:rsid w:val="33835519"/>
    <w:rsid w:val="338F44F8"/>
    <w:rsid w:val="338F53F3"/>
    <w:rsid w:val="33923816"/>
    <w:rsid w:val="33960E31"/>
    <w:rsid w:val="339766EC"/>
    <w:rsid w:val="33A07FCF"/>
    <w:rsid w:val="33A13F7B"/>
    <w:rsid w:val="33A22E78"/>
    <w:rsid w:val="33A8589B"/>
    <w:rsid w:val="33A932A0"/>
    <w:rsid w:val="33B95F01"/>
    <w:rsid w:val="33B96650"/>
    <w:rsid w:val="33BF1D10"/>
    <w:rsid w:val="33C07D0A"/>
    <w:rsid w:val="33DE0862"/>
    <w:rsid w:val="33E170B6"/>
    <w:rsid w:val="33E541A9"/>
    <w:rsid w:val="33E93BB1"/>
    <w:rsid w:val="33F75282"/>
    <w:rsid w:val="33F94264"/>
    <w:rsid w:val="33FB6405"/>
    <w:rsid w:val="3402383D"/>
    <w:rsid w:val="340A53E6"/>
    <w:rsid w:val="34110143"/>
    <w:rsid w:val="341B0F17"/>
    <w:rsid w:val="34223F33"/>
    <w:rsid w:val="342E505E"/>
    <w:rsid w:val="343401F9"/>
    <w:rsid w:val="34367751"/>
    <w:rsid w:val="34400E6A"/>
    <w:rsid w:val="34414B42"/>
    <w:rsid w:val="34457A14"/>
    <w:rsid w:val="34476BB2"/>
    <w:rsid w:val="34515C51"/>
    <w:rsid w:val="34517714"/>
    <w:rsid w:val="346314E0"/>
    <w:rsid w:val="346E1392"/>
    <w:rsid w:val="346F257B"/>
    <w:rsid w:val="347362F2"/>
    <w:rsid w:val="347A1ED7"/>
    <w:rsid w:val="348A1DB8"/>
    <w:rsid w:val="34980D1E"/>
    <w:rsid w:val="34B033E7"/>
    <w:rsid w:val="34B8312F"/>
    <w:rsid w:val="34BD350C"/>
    <w:rsid w:val="34BF74EA"/>
    <w:rsid w:val="34C03C3B"/>
    <w:rsid w:val="34D766B0"/>
    <w:rsid w:val="34DB2B4D"/>
    <w:rsid w:val="34E16316"/>
    <w:rsid w:val="34E467C1"/>
    <w:rsid w:val="34E75F12"/>
    <w:rsid w:val="34F32500"/>
    <w:rsid w:val="350623F2"/>
    <w:rsid w:val="3509715C"/>
    <w:rsid w:val="350A5CF4"/>
    <w:rsid w:val="350F0867"/>
    <w:rsid w:val="351F2F82"/>
    <w:rsid w:val="352C0860"/>
    <w:rsid w:val="352D3D79"/>
    <w:rsid w:val="35303AB8"/>
    <w:rsid w:val="3535293E"/>
    <w:rsid w:val="3536502B"/>
    <w:rsid w:val="353665BD"/>
    <w:rsid w:val="355610B1"/>
    <w:rsid w:val="355B65B2"/>
    <w:rsid w:val="355D4F81"/>
    <w:rsid w:val="356279EA"/>
    <w:rsid w:val="3567202C"/>
    <w:rsid w:val="35705AE4"/>
    <w:rsid w:val="35793904"/>
    <w:rsid w:val="35824905"/>
    <w:rsid w:val="35843F72"/>
    <w:rsid w:val="35862914"/>
    <w:rsid w:val="35970273"/>
    <w:rsid w:val="35A628BF"/>
    <w:rsid w:val="35A8616F"/>
    <w:rsid w:val="35AC4C37"/>
    <w:rsid w:val="35BB1693"/>
    <w:rsid w:val="35C1500F"/>
    <w:rsid w:val="35C74E47"/>
    <w:rsid w:val="35C93FD1"/>
    <w:rsid w:val="35D30377"/>
    <w:rsid w:val="35DA550A"/>
    <w:rsid w:val="35DE1C51"/>
    <w:rsid w:val="35E03A85"/>
    <w:rsid w:val="35E24DF5"/>
    <w:rsid w:val="35EB2A94"/>
    <w:rsid w:val="35EE0BFA"/>
    <w:rsid w:val="35FC0320"/>
    <w:rsid w:val="35FC78A0"/>
    <w:rsid w:val="35FF463C"/>
    <w:rsid w:val="36010DB4"/>
    <w:rsid w:val="36033597"/>
    <w:rsid w:val="36080A5B"/>
    <w:rsid w:val="360D4DD7"/>
    <w:rsid w:val="361124A4"/>
    <w:rsid w:val="36112E7F"/>
    <w:rsid w:val="36132896"/>
    <w:rsid w:val="36251E52"/>
    <w:rsid w:val="36280F4A"/>
    <w:rsid w:val="363372D6"/>
    <w:rsid w:val="363407F7"/>
    <w:rsid w:val="363627D3"/>
    <w:rsid w:val="3638445C"/>
    <w:rsid w:val="36400122"/>
    <w:rsid w:val="364A0E13"/>
    <w:rsid w:val="364B7E92"/>
    <w:rsid w:val="364D39D1"/>
    <w:rsid w:val="365612E8"/>
    <w:rsid w:val="36611770"/>
    <w:rsid w:val="36612B90"/>
    <w:rsid w:val="36631030"/>
    <w:rsid w:val="366513C8"/>
    <w:rsid w:val="36692433"/>
    <w:rsid w:val="366924C4"/>
    <w:rsid w:val="367A6999"/>
    <w:rsid w:val="3686608C"/>
    <w:rsid w:val="368A7B73"/>
    <w:rsid w:val="369D01F1"/>
    <w:rsid w:val="36AD62EF"/>
    <w:rsid w:val="36BB4644"/>
    <w:rsid w:val="36BD0318"/>
    <w:rsid w:val="36C142BF"/>
    <w:rsid w:val="36C56482"/>
    <w:rsid w:val="36CA1F25"/>
    <w:rsid w:val="36D375C4"/>
    <w:rsid w:val="36D87F8B"/>
    <w:rsid w:val="36DE0951"/>
    <w:rsid w:val="36E1021E"/>
    <w:rsid w:val="36EC7EB3"/>
    <w:rsid w:val="36F210B1"/>
    <w:rsid w:val="36F32FEF"/>
    <w:rsid w:val="36F62AE0"/>
    <w:rsid w:val="36FA6519"/>
    <w:rsid w:val="36FB1BE5"/>
    <w:rsid w:val="36FD5A14"/>
    <w:rsid w:val="37007AC7"/>
    <w:rsid w:val="370637C1"/>
    <w:rsid w:val="37086B3C"/>
    <w:rsid w:val="370F0884"/>
    <w:rsid w:val="371D1C1E"/>
    <w:rsid w:val="371F5B4E"/>
    <w:rsid w:val="371F6EDC"/>
    <w:rsid w:val="37294C63"/>
    <w:rsid w:val="372A09FA"/>
    <w:rsid w:val="37330115"/>
    <w:rsid w:val="373529C0"/>
    <w:rsid w:val="37363185"/>
    <w:rsid w:val="373758DB"/>
    <w:rsid w:val="373B6744"/>
    <w:rsid w:val="373F75C8"/>
    <w:rsid w:val="374008E5"/>
    <w:rsid w:val="37512525"/>
    <w:rsid w:val="375A12C0"/>
    <w:rsid w:val="375A58F4"/>
    <w:rsid w:val="375F2D0C"/>
    <w:rsid w:val="376B4FBE"/>
    <w:rsid w:val="37755F37"/>
    <w:rsid w:val="37807A1C"/>
    <w:rsid w:val="37866CAA"/>
    <w:rsid w:val="378D6FA0"/>
    <w:rsid w:val="378E3BE4"/>
    <w:rsid w:val="379837CA"/>
    <w:rsid w:val="37994C24"/>
    <w:rsid w:val="37A4695E"/>
    <w:rsid w:val="37A60062"/>
    <w:rsid w:val="37AA79A3"/>
    <w:rsid w:val="37B253AC"/>
    <w:rsid w:val="37B73B33"/>
    <w:rsid w:val="37C87091"/>
    <w:rsid w:val="37D42B5B"/>
    <w:rsid w:val="37E11252"/>
    <w:rsid w:val="37E8004A"/>
    <w:rsid w:val="37F048A0"/>
    <w:rsid w:val="37F14C7A"/>
    <w:rsid w:val="37F27E10"/>
    <w:rsid w:val="37FD1CC4"/>
    <w:rsid w:val="38132DC7"/>
    <w:rsid w:val="38283CA5"/>
    <w:rsid w:val="382932C1"/>
    <w:rsid w:val="382A51FA"/>
    <w:rsid w:val="382F4B08"/>
    <w:rsid w:val="38312A30"/>
    <w:rsid w:val="383B53FE"/>
    <w:rsid w:val="383C77C2"/>
    <w:rsid w:val="383D58E5"/>
    <w:rsid w:val="38526F11"/>
    <w:rsid w:val="38544E85"/>
    <w:rsid w:val="38605BE7"/>
    <w:rsid w:val="387266E8"/>
    <w:rsid w:val="387845AF"/>
    <w:rsid w:val="389425B0"/>
    <w:rsid w:val="38A00A0E"/>
    <w:rsid w:val="38A23923"/>
    <w:rsid w:val="38A81139"/>
    <w:rsid w:val="38A83ADF"/>
    <w:rsid w:val="38B10FD3"/>
    <w:rsid w:val="38BF21DB"/>
    <w:rsid w:val="38CE4F70"/>
    <w:rsid w:val="38D45077"/>
    <w:rsid w:val="38DC7DB9"/>
    <w:rsid w:val="38DD260A"/>
    <w:rsid w:val="38DF7F36"/>
    <w:rsid w:val="38E12A24"/>
    <w:rsid w:val="38E61A09"/>
    <w:rsid w:val="38E7522B"/>
    <w:rsid w:val="38F03DE8"/>
    <w:rsid w:val="38F172EC"/>
    <w:rsid w:val="38F8669B"/>
    <w:rsid w:val="38FF3D9D"/>
    <w:rsid w:val="390214DB"/>
    <w:rsid w:val="390D588D"/>
    <w:rsid w:val="391C3F3F"/>
    <w:rsid w:val="391F2C63"/>
    <w:rsid w:val="391F5244"/>
    <w:rsid w:val="392029D3"/>
    <w:rsid w:val="39225CE4"/>
    <w:rsid w:val="39226141"/>
    <w:rsid w:val="392635CF"/>
    <w:rsid w:val="392876F4"/>
    <w:rsid w:val="392A377B"/>
    <w:rsid w:val="393120C7"/>
    <w:rsid w:val="39352385"/>
    <w:rsid w:val="393E362D"/>
    <w:rsid w:val="39506E1D"/>
    <w:rsid w:val="395A55A8"/>
    <w:rsid w:val="395E6FAD"/>
    <w:rsid w:val="396252C6"/>
    <w:rsid w:val="396C6E6C"/>
    <w:rsid w:val="396D0C84"/>
    <w:rsid w:val="39716D8F"/>
    <w:rsid w:val="397F27D6"/>
    <w:rsid w:val="39882673"/>
    <w:rsid w:val="39920726"/>
    <w:rsid w:val="3995038E"/>
    <w:rsid w:val="39980102"/>
    <w:rsid w:val="399B2CB0"/>
    <w:rsid w:val="399F0B08"/>
    <w:rsid w:val="39A21AD0"/>
    <w:rsid w:val="39A87F2D"/>
    <w:rsid w:val="39AE1A04"/>
    <w:rsid w:val="39B54FFE"/>
    <w:rsid w:val="39B7679D"/>
    <w:rsid w:val="39C550B5"/>
    <w:rsid w:val="39C62DFD"/>
    <w:rsid w:val="39CE51AC"/>
    <w:rsid w:val="39DC14C7"/>
    <w:rsid w:val="39DC32CF"/>
    <w:rsid w:val="39DC5B33"/>
    <w:rsid w:val="39E14289"/>
    <w:rsid w:val="39E24BF4"/>
    <w:rsid w:val="39E53811"/>
    <w:rsid w:val="39E92488"/>
    <w:rsid w:val="39EF3377"/>
    <w:rsid w:val="39F63CA8"/>
    <w:rsid w:val="3A0C76D7"/>
    <w:rsid w:val="3A127640"/>
    <w:rsid w:val="3A1534FB"/>
    <w:rsid w:val="3A19194C"/>
    <w:rsid w:val="3A1C1F8B"/>
    <w:rsid w:val="3A1E479F"/>
    <w:rsid w:val="3A1F2356"/>
    <w:rsid w:val="3A204AEC"/>
    <w:rsid w:val="3A2200E6"/>
    <w:rsid w:val="3A233648"/>
    <w:rsid w:val="3A26059F"/>
    <w:rsid w:val="3A2D4580"/>
    <w:rsid w:val="3A3E0D77"/>
    <w:rsid w:val="3A450D78"/>
    <w:rsid w:val="3A4E34CE"/>
    <w:rsid w:val="3A504D64"/>
    <w:rsid w:val="3A5226E5"/>
    <w:rsid w:val="3A5610C1"/>
    <w:rsid w:val="3A6234A0"/>
    <w:rsid w:val="3A627DF4"/>
    <w:rsid w:val="3A791CD8"/>
    <w:rsid w:val="3A7E250A"/>
    <w:rsid w:val="3A7E4600"/>
    <w:rsid w:val="3A8025FB"/>
    <w:rsid w:val="3A895FAF"/>
    <w:rsid w:val="3A944AE9"/>
    <w:rsid w:val="3A9611FB"/>
    <w:rsid w:val="3AA23444"/>
    <w:rsid w:val="3AAB5217"/>
    <w:rsid w:val="3AAF39DD"/>
    <w:rsid w:val="3AB06356"/>
    <w:rsid w:val="3AB52727"/>
    <w:rsid w:val="3AB8468D"/>
    <w:rsid w:val="3AC20A9E"/>
    <w:rsid w:val="3AC70A1B"/>
    <w:rsid w:val="3ACA5143"/>
    <w:rsid w:val="3ACC7E1E"/>
    <w:rsid w:val="3ADC43DB"/>
    <w:rsid w:val="3AE3685C"/>
    <w:rsid w:val="3AE77731"/>
    <w:rsid w:val="3AE86776"/>
    <w:rsid w:val="3AEB018A"/>
    <w:rsid w:val="3AF45B1A"/>
    <w:rsid w:val="3B000900"/>
    <w:rsid w:val="3B047A2C"/>
    <w:rsid w:val="3B0D012B"/>
    <w:rsid w:val="3B101F22"/>
    <w:rsid w:val="3B124C1B"/>
    <w:rsid w:val="3B144FE3"/>
    <w:rsid w:val="3B1479D8"/>
    <w:rsid w:val="3B163B4E"/>
    <w:rsid w:val="3B16679D"/>
    <w:rsid w:val="3B1725D5"/>
    <w:rsid w:val="3B1B785B"/>
    <w:rsid w:val="3B293484"/>
    <w:rsid w:val="3B2A3136"/>
    <w:rsid w:val="3B2B31E1"/>
    <w:rsid w:val="3B3245B6"/>
    <w:rsid w:val="3B390B4A"/>
    <w:rsid w:val="3B3E7BB5"/>
    <w:rsid w:val="3B4324A8"/>
    <w:rsid w:val="3B43293D"/>
    <w:rsid w:val="3B457B92"/>
    <w:rsid w:val="3B4604BD"/>
    <w:rsid w:val="3B4756B8"/>
    <w:rsid w:val="3B563B4D"/>
    <w:rsid w:val="3B5F7EA1"/>
    <w:rsid w:val="3B6049CB"/>
    <w:rsid w:val="3B622EBC"/>
    <w:rsid w:val="3B697A40"/>
    <w:rsid w:val="3B7010B2"/>
    <w:rsid w:val="3B72614F"/>
    <w:rsid w:val="3B733F3E"/>
    <w:rsid w:val="3B761F16"/>
    <w:rsid w:val="3B7B6258"/>
    <w:rsid w:val="3B7C16F1"/>
    <w:rsid w:val="3B7D36E1"/>
    <w:rsid w:val="3B8A52AF"/>
    <w:rsid w:val="3B8A6A1F"/>
    <w:rsid w:val="3B910482"/>
    <w:rsid w:val="3B9B6F13"/>
    <w:rsid w:val="3BB0575A"/>
    <w:rsid w:val="3BB16615"/>
    <w:rsid w:val="3BBD1447"/>
    <w:rsid w:val="3BC05AA5"/>
    <w:rsid w:val="3BCE0130"/>
    <w:rsid w:val="3BDA29D0"/>
    <w:rsid w:val="3BDC6833"/>
    <w:rsid w:val="3BE5760A"/>
    <w:rsid w:val="3BE619A4"/>
    <w:rsid w:val="3BE94B32"/>
    <w:rsid w:val="3BED1959"/>
    <w:rsid w:val="3BED69ED"/>
    <w:rsid w:val="3BF33BCB"/>
    <w:rsid w:val="3BF736C7"/>
    <w:rsid w:val="3BF91A21"/>
    <w:rsid w:val="3BFD170B"/>
    <w:rsid w:val="3C04103F"/>
    <w:rsid w:val="3C0D7EBC"/>
    <w:rsid w:val="3C121BC1"/>
    <w:rsid w:val="3C130B57"/>
    <w:rsid w:val="3C176715"/>
    <w:rsid w:val="3C190282"/>
    <w:rsid w:val="3C20170F"/>
    <w:rsid w:val="3C35789E"/>
    <w:rsid w:val="3C3A17EA"/>
    <w:rsid w:val="3C3E6D60"/>
    <w:rsid w:val="3C4165AB"/>
    <w:rsid w:val="3C441041"/>
    <w:rsid w:val="3C4D4524"/>
    <w:rsid w:val="3C5639DE"/>
    <w:rsid w:val="3C571C05"/>
    <w:rsid w:val="3C6167B0"/>
    <w:rsid w:val="3C64352B"/>
    <w:rsid w:val="3C672E2C"/>
    <w:rsid w:val="3C6B0FA1"/>
    <w:rsid w:val="3C700C3E"/>
    <w:rsid w:val="3C731673"/>
    <w:rsid w:val="3C764FC0"/>
    <w:rsid w:val="3C82215E"/>
    <w:rsid w:val="3C89379F"/>
    <w:rsid w:val="3C8B3A72"/>
    <w:rsid w:val="3C8B5507"/>
    <w:rsid w:val="3C8D58BE"/>
    <w:rsid w:val="3C8E5FED"/>
    <w:rsid w:val="3C973C0D"/>
    <w:rsid w:val="3C9E20B1"/>
    <w:rsid w:val="3CB53A65"/>
    <w:rsid w:val="3CB95D6C"/>
    <w:rsid w:val="3CB9714D"/>
    <w:rsid w:val="3CC102AC"/>
    <w:rsid w:val="3CE03742"/>
    <w:rsid w:val="3CE360F2"/>
    <w:rsid w:val="3CE543AA"/>
    <w:rsid w:val="3CED0B38"/>
    <w:rsid w:val="3CEE5C15"/>
    <w:rsid w:val="3CF5496B"/>
    <w:rsid w:val="3CFA2F5E"/>
    <w:rsid w:val="3CFD798F"/>
    <w:rsid w:val="3D01019C"/>
    <w:rsid w:val="3D056133"/>
    <w:rsid w:val="3D072A0C"/>
    <w:rsid w:val="3D115586"/>
    <w:rsid w:val="3D197739"/>
    <w:rsid w:val="3D2871B7"/>
    <w:rsid w:val="3D2B2775"/>
    <w:rsid w:val="3D2D1023"/>
    <w:rsid w:val="3D317F54"/>
    <w:rsid w:val="3D370B7E"/>
    <w:rsid w:val="3D372F70"/>
    <w:rsid w:val="3D3B5E88"/>
    <w:rsid w:val="3D461DC9"/>
    <w:rsid w:val="3D500385"/>
    <w:rsid w:val="3D576CFB"/>
    <w:rsid w:val="3D5A44CB"/>
    <w:rsid w:val="3D5B5A4A"/>
    <w:rsid w:val="3D6025AF"/>
    <w:rsid w:val="3D6052EA"/>
    <w:rsid w:val="3D636B57"/>
    <w:rsid w:val="3D647CD4"/>
    <w:rsid w:val="3D6773D5"/>
    <w:rsid w:val="3D753B2D"/>
    <w:rsid w:val="3D7B49B3"/>
    <w:rsid w:val="3D7E5660"/>
    <w:rsid w:val="3D84454D"/>
    <w:rsid w:val="3D8720EB"/>
    <w:rsid w:val="3D8C2D13"/>
    <w:rsid w:val="3D8D259B"/>
    <w:rsid w:val="3D8D2E74"/>
    <w:rsid w:val="3D8E38BF"/>
    <w:rsid w:val="3D940183"/>
    <w:rsid w:val="3D94569F"/>
    <w:rsid w:val="3DA64C20"/>
    <w:rsid w:val="3DA704B5"/>
    <w:rsid w:val="3DB328C2"/>
    <w:rsid w:val="3DBA51B0"/>
    <w:rsid w:val="3DBF3C2B"/>
    <w:rsid w:val="3DC54FBA"/>
    <w:rsid w:val="3DCC12F0"/>
    <w:rsid w:val="3DD34439"/>
    <w:rsid w:val="3DD75419"/>
    <w:rsid w:val="3DE41CDC"/>
    <w:rsid w:val="3DE85142"/>
    <w:rsid w:val="3DEB52FD"/>
    <w:rsid w:val="3DF1250C"/>
    <w:rsid w:val="3DFC38E9"/>
    <w:rsid w:val="3E016AE6"/>
    <w:rsid w:val="3E187D1F"/>
    <w:rsid w:val="3E1C3525"/>
    <w:rsid w:val="3E200B4B"/>
    <w:rsid w:val="3E225DB0"/>
    <w:rsid w:val="3E2658AC"/>
    <w:rsid w:val="3E2B1230"/>
    <w:rsid w:val="3E2E7F0E"/>
    <w:rsid w:val="3E3D069E"/>
    <w:rsid w:val="3E483582"/>
    <w:rsid w:val="3E4F50F0"/>
    <w:rsid w:val="3E5337D0"/>
    <w:rsid w:val="3E537DE4"/>
    <w:rsid w:val="3E5527E2"/>
    <w:rsid w:val="3E554154"/>
    <w:rsid w:val="3E5F165E"/>
    <w:rsid w:val="3E650A83"/>
    <w:rsid w:val="3E6547E9"/>
    <w:rsid w:val="3E681019"/>
    <w:rsid w:val="3E6A28BE"/>
    <w:rsid w:val="3E6A6BB5"/>
    <w:rsid w:val="3E6B1778"/>
    <w:rsid w:val="3E6D548C"/>
    <w:rsid w:val="3E6D7B2B"/>
    <w:rsid w:val="3E8939E2"/>
    <w:rsid w:val="3E8C575B"/>
    <w:rsid w:val="3E8C7718"/>
    <w:rsid w:val="3E8D2247"/>
    <w:rsid w:val="3E8E0F69"/>
    <w:rsid w:val="3E904009"/>
    <w:rsid w:val="3E947135"/>
    <w:rsid w:val="3E9719E0"/>
    <w:rsid w:val="3E996659"/>
    <w:rsid w:val="3E9E1FC0"/>
    <w:rsid w:val="3EA300A7"/>
    <w:rsid w:val="3EB9306E"/>
    <w:rsid w:val="3EC3043C"/>
    <w:rsid w:val="3EC8679C"/>
    <w:rsid w:val="3EDB2CE7"/>
    <w:rsid w:val="3EDC3881"/>
    <w:rsid w:val="3EE0667B"/>
    <w:rsid w:val="3EE5288B"/>
    <w:rsid w:val="3EFF58DE"/>
    <w:rsid w:val="3F027DD0"/>
    <w:rsid w:val="3F175F24"/>
    <w:rsid w:val="3F232D0D"/>
    <w:rsid w:val="3F236822"/>
    <w:rsid w:val="3F2E1337"/>
    <w:rsid w:val="3F2E2497"/>
    <w:rsid w:val="3F3303B1"/>
    <w:rsid w:val="3F3607B2"/>
    <w:rsid w:val="3F380D4D"/>
    <w:rsid w:val="3F450C5E"/>
    <w:rsid w:val="3F4A339D"/>
    <w:rsid w:val="3F546E9E"/>
    <w:rsid w:val="3F5E47EB"/>
    <w:rsid w:val="3F6351E6"/>
    <w:rsid w:val="3F66563F"/>
    <w:rsid w:val="3F6775AE"/>
    <w:rsid w:val="3F6C5444"/>
    <w:rsid w:val="3F6E7773"/>
    <w:rsid w:val="3F780590"/>
    <w:rsid w:val="3F7826F6"/>
    <w:rsid w:val="3F7F2296"/>
    <w:rsid w:val="3F8578BC"/>
    <w:rsid w:val="3F8F5878"/>
    <w:rsid w:val="3F9F1936"/>
    <w:rsid w:val="3FA05939"/>
    <w:rsid w:val="3FA50111"/>
    <w:rsid w:val="3FA87B4A"/>
    <w:rsid w:val="3FAB5086"/>
    <w:rsid w:val="3FBD2DA4"/>
    <w:rsid w:val="3FBF2FE8"/>
    <w:rsid w:val="3FC52C55"/>
    <w:rsid w:val="3FCD21AF"/>
    <w:rsid w:val="3FDE02D2"/>
    <w:rsid w:val="3FE672B3"/>
    <w:rsid w:val="3FE8441C"/>
    <w:rsid w:val="3FED00AC"/>
    <w:rsid w:val="3FF95AD1"/>
    <w:rsid w:val="4002562A"/>
    <w:rsid w:val="400B5998"/>
    <w:rsid w:val="400C1708"/>
    <w:rsid w:val="400D463C"/>
    <w:rsid w:val="400D69C0"/>
    <w:rsid w:val="401E1F88"/>
    <w:rsid w:val="40266EE6"/>
    <w:rsid w:val="402A2B25"/>
    <w:rsid w:val="402D166A"/>
    <w:rsid w:val="403326AF"/>
    <w:rsid w:val="403E203C"/>
    <w:rsid w:val="40406945"/>
    <w:rsid w:val="405733C5"/>
    <w:rsid w:val="40595063"/>
    <w:rsid w:val="405B2555"/>
    <w:rsid w:val="40653402"/>
    <w:rsid w:val="40654256"/>
    <w:rsid w:val="406E2D1C"/>
    <w:rsid w:val="407203A7"/>
    <w:rsid w:val="4075475E"/>
    <w:rsid w:val="407A0990"/>
    <w:rsid w:val="407A1956"/>
    <w:rsid w:val="407C3AE5"/>
    <w:rsid w:val="407E45ED"/>
    <w:rsid w:val="407F1C79"/>
    <w:rsid w:val="4083285F"/>
    <w:rsid w:val="4083477A"/>
    <w:rsid w:val="409B660A"/>
    <w:rsid w:val="40A843C0"/>
    <w:rsid w:val="40A93DFB"/>
    <w:rsid w:val="40A96AA7"/>
    <w:rsid w:val="40B04F11"/>
    <w:rsid w:val="40BE466E"/>
    <w:rsid w:val="40C04B53"/>
    <w:rsid w:val="40C266AB"/>
    <w:rsid w:val="40C27447"/>
    <w:rsid w:val="40CE4185"/>
    <w:rsid w:val="40D641E4"/>
    <w:rsid w:val="40DD566B"/>
    <w:rsid w:val="40DD7A15"/>
    <w:rsid w:val="40E70FDE"/>
    <w:rsid w:val="40EF3B05"/>
    <w:rsid w:val="40F676A4"/>
    <w:rsid w:val="40FF5264"/>
    <w:rsid w:val="4104251E"/>
    <w:rsid w:val="41080CDA"/>
    <w:rsid w:val="411266A1"/>
    <w:rsid w:val="41162C62"/>
    <w:rsid w:val="412A2C1A"/>
    <w:rsid w:val="412D06F1"/>
    <w:rsid w:val="412D7B4F"/>
    <w:rsid w:val="412E6E8A"/>
    <w:rsid w:val="413362A7"/>
    <w:rsid w:val="41350217"/>
    <w:rsid w:val="41356368"/>
    <w:rsid w:val="413A07A9"/>
    <w:rsid w:val="414311A9"/>
    <w:rsid w:val="415809BC"/>
    <w:rsid w:val="415E7F1E"/>
    <w:rsid w:val="4163168B"/>
    <w:rsid w:val="4163256C"/>
    <w:rsid w:val="41645CF3"/>
    <w:rsid w:val="41684FED"/>
    <w:rsid w:val="41705CAC"/>
    <w:rsid w:val="41714948"/>
    <w:rsid w:val="417852FE"/>
    <w:rsid w:val="41792489"/>
    <w:rsid w:val="4180461A"/>
    <w:rsid w:val="41811514"/>
    <w:rsid w:val="418140CD"/>
    <w:rsid w:val="418718DD"/>
    <w:rsid w:val="41873B75"/>
    <w:rsid w:val="41933D70"/>
    <w:rsid w:val="41975AE6"/>
    <w:rsid w:val="419A0534"/>
    <w:rsid w:val="419C6F6E"/>
    <w:rsid w:val="41A7672E"/>
    <w:rsid w:val="41A970CC"/>
    <w:rsid w:val="41AB30BD"/>
    <w:rsid w:val="41B06503"/>
    <w:rsid w:val="41B15F81"/>
    <w:rsid w:val="41C16449"/>
    <w:rsid w:val="41E12D4A"/>
    <w:rsid w:val="41E82F0A"/>
    <w:rsid w:val="41EA07BD"/>
    <w:rsid w:val="41F22E27"/>
    <w:rsid w:val="41F45A1C"/>
    <w:rsid w:val="41F93758"/>
    <w:rsid w:val="41FA7928"/>
    <w:rsid w:val="42101E16"/>
    <w:rsid w:val="421337A1"/>
    <w:rsid w:val="42187DAE"/>
    <w:rsid w:val="42280A06"/>
    <w:rsid w:val="422C1E62"/>
    <w:rsid w:val="4238215D"/>
    <w:rsid w:val="42387696"/>
    <w:rsid w:val="426664F2"/>
    <w:rsid w:val="42666616"/>
    <w:rsid w:val="4267619E"/>
    <w:rsid w:val="426B5D0D"/>
    <w:rsid w:val="426E0E54"/>
    <w:rsid w:val="42746CC9"/>
    <w:rsid w:val="42770358"/>
    <w:rsid w:val="42782D0E"/>
    <w:rsid w:val="427C3379"/>
    <w:rsid w:val="42812BEB"/>
    <w:rsid w:val="428546DC"/>
    <w:rsid w:val="428759CF"/>
    <w:rsid w:val="428C3A7A"/>
    <w:rsid w:val="42917131"/>
    <w:rsid w:val="429F568C"/>
    <w:rsid w:val="42A81C01"/>
    <w:rsid w:val="42A823D1"/>
    <w:rsid w:val="42BD1BBE"/>
    <w:rsid w:val="42BE31F4"/>
    <w:rsid w:val="42C23654"/>
    <w:rsid w:val="42CA6FBD"/>
    <w:rsid w:val="42E23496"/>
    <w:rsid w:val="42E87A95"/>
    <w:rsid w:val="42EB6FAA"/>
    <w:rsid w:val="42F06F1B"/>
    <w:rsid w:val="42F90BB8"/>
    <w:rsid w:val="43011432"/>
    <w:rsid w:val="43037E1E"/>
    <w:rsid w:val="431567DE"/>
    <w:rsid w:val="431B24E0"/>
    <w:rsid w:val="431F46B8"/>
    <w:rsid w:val="432129E2"/>
    <w:rsid w:val="43224918"/>
    <w:rsid w:val="432329D1"/>
    <w:rsid w:val="4337416F"/>
    <w:rsid w:val="433A4C90"/>
    <w:rsid w:val="43441D8D"/>
    <w:rsid w:val="43441DEB"/>
    <w:rsid w:val="4345375F"/>
    <w:rsid w:val="43456F8D"/>
    <w:rsid w:val="434B6E74"/>
    <w:rsid w:val="435436B7"/>
    <w:rsid w:val="4357300A"/>
    <w:rsid w:val="43617533"/>
    <w:rsid w:val="43654953"/>
    <w:rsid w:val="43675239"/>
    <w:rsid w:val="43683AE3"/>
    <w:rsid w:val="437300B3"/>
    <w:rsid w:val="437D708F"/>
    <w:rsid w:val="438028DB"/>
    <w:rsid w:val="43811301"/>
    <w:rsid w:val="438218B5"/>
    <w:rsid w:val="438D25B3"/>
    <w:rsid w:val="43933756"/>
    <w:rsid w:val="439C453E"/>
    <w:rsid w:val="43B001FE"/>
    <w:rsid w:val="43B13CDD"/>
    <w:rsid w:val="43BB1566"/>
    <w:rsid w:val="43BE6232"/>
    <w:rsid w:val="43BE67A1"/>
    <w:rsid w:val="43C91A5D"/>
    <w:rsid w:val="43CA4D0A"/>
    <w:rsid w:val="43CF6547"/>
    <w:rsid w:val="43D03A61"/>
    <w:rsid w:val="43D349E2"/>
    <w:rsid w:val="43D34DCA"/>
    <w:rsid w:val="43D951C6"/>
    <w:rsid w:val="43D95633"/>
    <w:rsid w:val="43DA1716"/>
    <w:rsid w:val="43E202FC"/>
    <w:rsid w:val="43E22422"/>
    <w:rsid w:val="43F403A7"/>
    <w:rsid w:val="43F738D0"/>
    <w:rsid w:val="43F97366"/>
    <w:rsid w:val="43FA75B3"/>
    <w:rsid w:val="43FB5DD1"/>
    <w:rsid w:val="44011F00"/>
    <w:rsid w:val="440D376B"/>
    <w:rsid w:val="4414531D"/>
    <w:rsid w:val="441C152A"/>
    <w:rsid w:val="442C66DD"/>
    <w:rsid w:val="44370438"/>
    <w:rsid w:val="44385C50"/>
    <w:rsid w:val="443F494A"/>
    <w:rsid w:val="44413EB4"/>
    <w:rsid w:val="44415838"/>
    <w:rsid w:val="44442356"/>
    <w:rsid w:val="444529B0"/>
    <w:rsid w:val="4449591C"/>
    <w:rsid w:val="445439C0"/>
    <w:rsid w:val="446F1124"/>
    <w:rsid w:val="447C700B"/>
    <w:rsid w:val="447F27A2"/>
    <w:rsid w:val="44881AD7"/>
    <w:rsid w:val="448E0C96"/>
    <w:rsid w:val="44947ABC"/>
    <w:rsid w:val="44982F38"/>
    <w:rsid w:val="44A41552"/>
    <w:rsid w:val="44A4323A"/>
    <w:rsid w:val="44A76CF6"/>
    <w:rsid w:val="44AC1EE5"/>
    <w:rsid w:val="44AD1FCC"/>
    <w:rsid w:val="44B81444"/>
    <w:rsid w:val="44BD0353"/>
    <w:rsid w:val="44C02694"/>
    <w:rsid w:val="44CD31E2"/>
    <w:rsid w:val="44DD2005"/>
    <w:rsid w:val="44DD62F3"/>
    <w:rsid w:val="44DF60D4"/>
    <w:rsid w:val="44E04549"/>
    <w:rsid w:val="44F32FB8"/>
    <w:rsid w:val="44FF0CFC"/>
    <w:rsid w:val="45010547"/>
    <w:rsid w:val="450A37A6"/>
    <w:rsid w:val="450F68E6"/>
    <w:rsid w:val="4513509F"/>
    <w:rsid w:val="451A3E3D"/>
    <w:rsid w:val="453A3D5A"/>
    <w:rsid w:val="45401AF6"/>
    <w:rsid w:val="454B22CD"/>
    <w:rsid w:val="454E009D"/>
    <w:rsid w:val="45511241"/>
    <w:rsid w:val="45570263"/>
    <w:rsid w:val="45582175"/>
    <w:rsid w:val="455B00AB"/>
    <w:rsid w:val="455D53F3"/>
    <w:rsid w:val="455D7CE5"/>
    <w:rsid w:val="455E543A"/>
    <w:rsid w:val="45605DF9"/>
    <w:rsid w:val="45630C39"/>
    <w:rsid w:val="456526DC"/>
    <w:rsid w:val="456B6252"/>
    <w:rsid w:val="45722531"/>
    <w:rsid w:val="45733DC0"/>
    <w:rsid w:val="45912560"/>
    <w:rsid w:val="459865CE"/>
    <w:rsid w:val="459C0CF6"/>
    <w:rsid w:val="45B1654F"/>
    <w:rsid w:val="45BA3A4B"/>
    <w:rsid w:val="45BC2451"/>
    <w:rsid w:val="45BC6CD1"/>
    <w:rsid w:val="45C168FC"/>
    <w:rsid w:val="45C9303D"/>
    <w:rsid w:val="45C95507"/>
    <w:rsid w:val="45D0102E"/>
    <w:rsid w:val="45D976C4"/>
    <w:rsid w:val="45E42AD7"/>
    <w:rsid w:val="45F21CCB"/>
    <w:rsid w:val="45FE6567"/>
    <w:rsid w:val="46177320"/>
    <w:rsid w:val="46201378"/>
    <w:rsid w:val="462036D5"/>
    <w:rsid w:val="46226875"/>
    <w:rsid w:val="46276A68"/>
    <w:rsid w:val="46317741"/>
    <w:rsid w:val="46423CE6"/>
    <w:rsid w:val="46445AA3"/>
    <w:rsid w:val="464B7691"/>
    <w:rsid w:val="464E4459"/>
    <w:rsid w:val="464F7D9C"/>
    <w:rsid w:val="46510993"/>
    <w:rsid w:val="465175DE"/>
    <w:rsid w:val="465869CB"/>
    <w:rsid w:val="46597DAF"/>
    <w:rsid w:val="465D4024"/>
    <w:rsid w:val="4660270E"/>
    <w:rsid w:val="466276C7"/>
    <w:rsid w:val="466753B5"/>
    <w:rsid w:val="466C2849"/>
    <w:rsid w:val="46743C3C"/>
    <w:rsid w:val="468119D1"/>
    <w:rsid w:val="468A7785"/>
    <w:rsid w:val="46955E71"/>
    <w:rsid w:val="469D2ABE"/>
    <w:rsid w:val="46A80D82"/>
    <w:rsid w:val="46AD46D2"/>
    <w:rsid w:val="46B26810"/>
    <w:rsid w:val="46BB7BAE"/>
    <w:rsid w:val="46BF304B"/>
    <w:rsid w:val="46C05933"/>
    <w:rsid w:val="46C20EBF"/>
    <w:rsid w:val="46C91702"/>
    <w:rsid w:val="46CB3B16"/>
    <w:rsid w:val="46CE4EDF"/>
    <w:rsid w:val="46D06061"/>
    <w:rsid w:val="46DA25C3"/>
    <w:rsid w:val="46DB4025"/>
    <w:rsid w:val="46E40F07"/>
    <w:rsid w:val="46E813A4"/>
    <w:rsid w:val="46E94533"/>
    <w:rsid w:val="46E97115"/>
    <w:rsid w:val="46F575B9"/>
    <w:rsid w:val="46FE6058"/>
    <w:rsid w:val="46FF6008"/>
    <w:rsid w:val="470457E6"/>
    <w:rsid w:val="47173C62"/>
    <w:rsid w:val="47185071"/>
    <w:rsid w:val="471C3E9C"/>
    <w:rsid w:val="47210A51"/>
    <w:rsid w:val="472530E4"/>
    <w:rsid w:val="47262F6D"/>
    <w:rsid w:val="47293E0F"/>
    <w:rsid w:val="47307DD7"/>
    <w:rsid w:val="473C1E11"/>
    <w:rsid w:val="473E2FCD"/>
    <w:rsid w:val="473F409F"/>
    <w:rsid w:val="47402C33"/>
    <w:rsid w:val="4741268A"/>
    <w:rsid w:val="47496A9E"/>
    <w:rsid w:val="474C23A8"/>
    <w:rsid w:val="475029D2"/>
    <w:rsid w:val="475603F6"/>
    <w:rsid w:val="4764158A"/>
    <w:rsid w:val="476C7B45"/>
    <w:rsid w:val="476D0C9F"/>
    <w:rsid w:val="476E64B1"/>
    <w:rsid w:val="47722A18"/>
    <w:rsid w:val="47741D0C"/>
    <w:rsid w:val="47805970"/>
    <w:rsid w:val="47876B9F"/>
    <w:rsid w:val="478B55C7"/>
    <w:rsid w:val="478C0EC4"/>
    <w:rsid w:val="478F6E5A"/>
    <w:rsid w:val="479236A7"/>
    <w:rsid w:val="47953EA1"/>
    <w:rsid w:val="47A213C0"/>
    <w:rsid w:val="47B57B67"/>
    <w:rsid w:val="47B62E03"/>
    <w:rsid w:val="47B76453"/>
    <w:rsid w:val="47B95B8F"/>
    <w:rsid w:val="47C2640D"/>
    <w:rsid w:val="47C410F3"/>
    <w:rsid w:val="47C82219"/>
    <w:rsid w:val="47D52482"/>
    <w:rsid w:val="47DC4284"/>
    <w:rsid w:val="47DC44AD"/>
    <w:rsid w:val="47DF7B1C"/>
    <w:rsid w:val="47E50EDA"/>
    <w:rsid w:val="47E60318"/>
    <w:rsid w:val="47E8372E"/>
    <w:rsid w:val="47F15AAE"/>
    <w:rsid w:val="47F21EF0"/>
    <w:rsid w:val="47F5197C"/>
    <w:rsid w:val="47F941DE"/>
    <w:rsid w:val="47F95DB7"/>
    <w:rsid w:val="480F66E3"/>
    <w:rsid w:val="481742C5"/>
    <w:rsid w:val="481D08A3"/>
    <w:rsid w:val="481D120F"/>
    <w:rsid w:val="481E59F2"/>
    <w:rsid w:val="482105C0"/>
    <w:rsid w:val="48211E7E"/>
    <w:rsid w:val="482C40A9"/>
    <w:rsid w:val="48342F88"/>
    <w:rsid w:val="483510C7"/>
    <w:rsid w:val="484F3DFE"/>
    <w:rsid w:val="48554F42"/>
    <w:rsid w:val="485615D5"/>
    <w:rsid w:val="485C39F4"/>
    <w:rsid w:val="485E7ACC"/>
    <w:rsid w:val="4862142D"/>
    <w:rsid w:val="48626E30"/>
    <w:rsid w:val="48636ED0"/>
    <w:rsid w:val="48680479"/>
    <w:rsid w:val="486A4A47"/>
    <w:rsid w:val="487114CD"/>
    <w:rsid w:val="48766E5E"/>
    <w:rsid w:val="487835F2"/>
    <w:rsid w:val="487A69DB"/>
    <w:rsid w:val="4889205F"/>
    <w:rsid w:val="48937E9F"/>
    <w:rsid w:val="48952A5D"/>
    <w:rsid w:val="489701E4"/>
    <w:rsid w:val="489711F0"/>
    <w:rsid w:val="4898120E"/>
    <w:rsid w:val="489C5552"/>
    <w:rsid w:val="48AB0568"/>
    <w:rsid w:val="48AB63B2"/>
    <w:rsid w:val="48B23A8E"/>
    <w:rsid w:val="48BA110B"/>
    <w:rsid w:val="48C170BE"/>
    <w:rsid w:val="48CD0CC0"/>
    <w:rsid w:val="48CF57E3"/>
    <w:rsid w:val="48D376B5"/>
    <w:rsid w:val="48D42363"/>
    <w:rsid w:val="48D8709A"/>
    <w:rsid w:val="48D949EA"/>
    <w:rsid w:val="48E1069F"/>
    <w:rsid w:val="48EF737D"/>
    <w:rsid w:val="48F73D54"/>
    <w:rsid w:val="48FA28F1"/>
    <w:rsid w:val="48FB457E"/>
    <w:rsid w:val="4905290C"/>
    <w:rsid w:val="49063785"/>
    <w:rsid w:val="490F3F6D"/>
    <w:rsid w:val="4913307D"/>
    <w:rsid w:val="491A0D1D"/>
    <w:rsid w:val="491C548A"/>
    <w:rsid w:val="491D1B81"/>
    <w:rsid w:val="492F531F"/>
    <w:rsid w:val="492F6636"/>
    <w:rsid w:val="492F7E36"/>
    <w:rsid w:val="49405D5E"/>
    <w:rsid w:val="49553696"/>
    <w:rsid w:val="49561E92"/>
    <w:rsid w:val="496A1DB8"/>
    <w:rsid w:val="497016DD"/>
    <w:rsid w:val="4971045B"/>
    <w:rsid w:val="4979031F"/>
    <w:rsid w:val="497976FA"/>
    <w:rsid w:val="49833A3E"/>
    <w:rsid w:val="49896678"/>
    <w:rsid w:val="499A4087"/>
    <w:rsid w:val="49A42C3A"/>
    <w:rsid w:val="49A67E4A"/>
    <w:rsid w:val="49AE68B8"/>
    <w:rsid w:val="49BF4865"/>
    <w:rsid w:val="49C068FC"/>
    <w:rsid w:val="49C60139"/>
    <w:rsid w:val="49C63B01"/>
    <w:rsid w:val="49CA5E32"/>
    <w:rsid w:val="49E6704C"/>
    <w:rsid w:val="49E86AB7"/>
    <w:rsid w:val="49EE6A1F"/>
    <w:rsid w:val="49EF23AD"/>
    <w:rsid w:val="49F04D11"/>
    <w:rsid w:val="49F14CC3"/>
    <w:rsid w:val="49F20CE7"/>
    <w:rsid w:val="49FB322B"/>
    <w:rsid w:val="49FD6413"/>
    <w:rsid w:val="49FE1236"/>
    <w:rsid w:val="4A0A50FA"/>
    <w:rsid w:val="4A147B2E"/>
    <w:rsid w:val="4A192C26"/>
    <w:rsid w:val="4A1C2F72"/>
    <w:rsid w:val="4A314103"/>
    <w:rsid w:val="4A3B617B"/>
    <w:rsid w:val="4A3D4FF8"/>
    <w:rsid w:val="4A3F629B"/>
    <w:rsid w:val="4A400106"/>
    <w:rsid w:val="4A416D23"/>
    <w:rsid w:val="4A4C1621"/>
    <w:rsid w:val="4A546A31"/>
    <w:rsid w:val="4A561E40"/>
    <w:rsid w:val="4A5F5280"/>
    <w:rsid w:val="4A6129DF"/>
    <w:rsid w:val="4A691BA3"/>
    <w:rsid w:val="4A6A1FDF"/>
    <w:rsid w:val="4A75264F"/>
    <w:rsid w:val="4A8622B6"/>
    <w:rsid w:val="4A877D6A"/>
    <w:rsid w:val="4A88661D"/>
    <w:rsid w:val="4A925CA1"/>
    <w:rsid w:val="4AA13962"/>
    <w:rsid w:val="4AA519A3"/>
    <w:rsid w:val="4AA93C99"/>
    <w:rsid w:val="4AAA1971"/>
    <w:rsid w:val="4AB27100"/>
    <w:rsid w:val="4ABD09E3"/>
    <w:rsid w:val="4AC73EF8"/>
    <w:rsid w:val="4AC878DE"/>
    <w:rsid w:val="4ADB40EF"/>
    <w:rsid w:val="4ADD4949"/>
    <w:rsid w:val="4ADD54C0"/>
    <w:rsid w:val="4ADF3B00"/>
    <w:rsid w:val="4AE44288"/>
    <w:rsid w:val="4AE775D1"/>
    <w:rsid w:val="4AE86A3E"/>
    <w:rsid w:val="4AF37F3C"/>
    <w:rsid w:val="4AF7270C"/>
    <w:rsid w:val="4AFC08D7"/>
    <w:rsid w:val="4AFC315D"/>
    <w:rsid w:val="4B084D13"/>
    <w:rsid w:val="4B0C10BD"/>
    <w:rsid w:val="4B117CCB"/>
    <w:rsid w:val="4B252E26"/>
    <w:rsid w:val="4B2E0642"/>
    <w:rsid w:val="4B33627A"/>
    <w:rsid w:val="4B356505"/>
    <w:rsid w:val="4B3A18E6"/>
    <w:rsid w:val="4B3A331C"/>
    <w:rsid w:val="4B3A4DD8"/>
    <w:rsid w:val="4B3D32A5"/>
    <w:rsid w:val="4B46237C"/>
    <w:rsid w:val="4B503E7D"/>
    <w:rsid w:val="4B5526A6"/>
    <w:rsid w:val="4B6A739A"/>
    <w:rsid w:val="4B6B2FC4"/>
    <w:rsid w:val="4B6E666B"/>
    <w:rsid w:val="4B816AF3"/>
    <w:rsid w:val="4B8273E2"/>
    <w:rsid w:val="4B83434C"/>
    <w:rsid w:val="4B84080B"/>
    <w:rsid w:val="4B8D026C"/>
    <w:rsid w:val="4B96268C"/>
    <w:rsid w:val="4B972903"/>
    <w:rsid w:val="4B9F32A8"/>
    <w:rsid w:val="4BBA5C6F"/>
    <w:rsid w:val="4BBD5946"/>
    <w:rsid w:val="4BC3761F"/>
    <w:rsid w:val="4BE01CB1"/>
    <w:rsid w:val="4BE4657C"/>
    <w:rsid w:val="4BEE2702"/>
    <w:rsid w:val="4BF1539E"/>
    <w:rsid w:val="4BF72B06"/>
    <w:rsid w:val="4BF94856"/>
    <w:rsid w:val="4C03562B"/>
    <w:rsid w:val="4C0700C6"/>
    <w:rsid w:val="4C0C614B"/>
    <w:rsid w:val="4C0D69A5"/>
    <w:rsid w:val="4C114E73"/>
    <w:rsid w:val="4C15308B"/>
    <w:rsid w:val="4C1B0CF0"/>
    <w:rsid w:val="4C276414"/>
    <w:rsid w:val="4C2F0BD5"/>
    <w:rsid w:val="4C30348B"/>
    <w:rsid w:val="4C3449C0"/>
    <w:rsid w:val="4C457022"/>
    <w:rsid w:val="4C457E06"/>
    <w:rsid w:val="4C482B52"/>
    <w:rsid w:val="4C486022"/>
    <w:rsid w:val="4C4C396A"/>
    <w:rsid w:val="4C5653EF"/>
    <w:rsid w:val="4C613A0C"/>
    <w:rsid w:val="4C6E490F"/>
    <w:rsid w:val="4C761AE5"/>
    <w:rsid w:val="4C7A3E0A"/>
    <w:rsid w:val="4C8D2725"/>
    <w:rsid w:val="4C927C67"/>
    <w:rsid w:val="4C96024D"/>
    <w:rsid w:val="4C992C68"/>
    <w:rsid w:val="4C9A24A5"/>
    <w:rsid w:val="4C9B51D5"/>
    <w:rsid w:val="4CB4751A"/>
    <w:rsid w:val="4CBD57DA"/>
    <w:rsid w:val="4CCE05D1"/>
    <w:rsid w:val="4CD715B6"/>
    <w:rsid w:val="4CDB466D"/>
    <w:rsid w:val="4CE239C2"/>
    <w:rsid w:val="4CE34671"/>
    <w:rsid w:val="4CFE58B7"/>
    <w:rsid w:val="4D0D5045"/>
    <w:rsid w:val="4D142642"/>
    <w:rsid w:val="4D176CED"/>
    <w:rsid w:val="4D241DA1"/>
    <w:rsid w:val="4D2A6DE6"/>
    <w:rsid w:val="4D2D4F3D"/>
    <w:rsid w:val="4D3519E8"/>
    <w:rsid w:val="4D3A472C"/>
    <w:rsid w:val="4D4E76C1"/>
    <w:rsid w:val="4D5C35DB"/>
    <w:rsid w:val="4D603556"/>
    <w:rsid w:val="4D694853"/>
    <w:rsid w:val="4D6A5234"/>
    <w:rsid w:val="4D6C0FAE"/>
    <w:rsid w:val="4D6E3730"/>
    <w:rsid w:val="4D6E6050"/>
    <w:rsid w:val="4D7B7388"/>
    <w:rsid w:val="4D7D0B22"/>
    <w:rsid w:val="4D8C1650"/>
    <w:rsid w:val="4D933D82"/>
    <w:rsid w:val="4D964BDE"/>
    <w:rsid w:val="4DA22F6F"/>
    <w:rsid w:val="4DA34D99"/>
    <w:rsid w:val="4DA366F2"/>
    <w:rsid w:val="4DB82445"/>
    <w:rsid w:val="4DC43E1F"/>
    <w:rsid w:val="4DC808DA"/>
    <w:rsid w:val="4DCA651D"/>
    <w:rsid w:val="4DD41FFC"/>
    <w:rsid w:val="4DD455C4"/>
    <w:rsid w:val="4DD46851"/>
    <w:rsid w:val="4DED17F1"/>
    <w:rsid w:val="4DEE1BA4"/>
    <w:rsid w:val="4DF22F98"/>
    <w:rsid w:val="4DF85277"/>
    <w:rsid w:val="4DFA7C3B"/>
    <w:rsid w:val="4DFC5B74"/>
    <w:rsid w:val="4E00643A"/>
    <w:rsid w:val="4E0B4C6B"/>
    <w:rsid w:val="4E1A5E9B"/>
    <w:rsid w:val="4E1F6FFD"/>
    <w:rsid w:val="4E206385"/>
    <w:rsid w:val="4E220315"/>
    <w:rsid w:val="4E232188"/>
    <w:rsid w:val="4E2807AC"/>
    <w:rsid w:val="4E2B750E"/>
    <w:rsid w:val="4E30293B"/>
    <w:rsid w:val="4E394DF5"/>
    <w:rsid w:val="4E3A7F99"/>
    <w:rsid w:val="4E4A2C3D"/>
    <w:rsid w:val="4E4C2981"/>
    <w:rsid w:val="4E525C89"/>
    <w:rsid w:val="4E5912BC"/>
    <w:rsid w:val="4E5A52AA"/>
    <w:rsid w:val="4E623E5F"/>
    <w:rsid w:val="4E69351D"/>
    <w:rsid w:val="4E6C7842"/>
    <w:rsid w:val="4E6E437B"/>
    <w:rsid w:val="4E707CB4"/>
    <w:rsid w:val="4E7146D6"/>
    <w:rsid w:val="4E716DD6"/>
    <w:rsid w:val="4E797619"/>
    <w:rsid w:val="4E7D41EF"/>
    <w:rsid w:val="4E7D7214"/>
    <w:rsid w:val="4E8743CF"/>
    <w:rsid w:val="4E8A19A2"/>
    <w:rsid w:val="4E8B6297"/>
    <w:rsid w:val="4E8D2B5B"/>
    <w:rsid w:val="4E9E37C4"/>
    <w:rsid w:val="4EA47ED4"/>
    <w:rsid w:val="4EA73499"/>
    <w:rsid w:val="4EAF6660"/>
    <w:rsid w:val="4EB70230"/>
    <w:rsid w:val="4EC0295F"/>
    <w:rsid w:val="4EC112A5"/>
    <w:rsid w:val="4EC273B5"/>
    <w:rsid w:val="4EC27DC2"/>
    <w:rsid w:val="4EC31609"/>
    <w:rsid w:val="4ECD7A91"/>
    <w:rsid w:val="4ED7559C"/>
    <w:rsid w:val="4EDA2711"/>
    <w:rsid w:val="4EE520BF"/>
    <w:rsid w:val="4EEE423D"/>
    <w:rsid w:val="4F020E81"/>
    <w:rsid w:val="4F05494C"/>
    <w:rsid w:val="4F0D50A9"/>
    <w:rsid w:val="4F1535E3"/>
    <w:rsid w:val="4F1813ED"/>
    <w:rsid w:val="4F1867DF"/>
    <w:rsid w:val="4F1A62E3"/>
    <w:rsid w:val="4F20737B"/>
    <w:rsid w:val="4F253B0A"/>
    <w:rsid w:val="4F274B63"/>
    <w:rsid w:val="4F311C64"/>
    <w:rsid w:val="4F363F69"/>
    <w:rsid w:val="4F4022BC"/>
    <w:rsid w:val="4F460289"/>
    <w:rsid w:val="4F4E1D81"/>
    <w:rsid w:val="4F50081E"/>
    <w:rsid w:val="4F510C33"/>
    <w:rsid w:val="4F533415"/>
    <w:rsid w:val="4F5F1BB6"/>
    <w:rsid w:val="4F7223E0"/>
    <w:rsid w:val="4F737BC5"/>
    <w:rsid w:val="4F8306AF"/>
    <w:rsid w:val="4F897829"/>
    <w:rsid w:val="4F8C04F3"/>
    <w:rsid w:val="4F8E053B"/>
    <w:rsid w:val="4F8F69AC"/>
    <w:rsid w:val="4F9667B6"/>
    <w:rsid w:val="4F970DE9"/>
    <w:rsid w:val="4F971FC4"/>
    <w:rsid w:val="4F9B749E"/>
    <w:rsid w:val="4FA5268C"/>
    <w:rsid w:val="4FA72EC6"/>
    <w:rsid w:val="4FA84803"/>
    <w:rsid w:val="4FB14873"/>
    <w:rsid w:val="4FC804D5"/>
    <w:rsid w:val="4FCC1A25"/>
    <w:rsid w:val="4FE21BA6"/>
    <w:rsid w:val="4FE31A0B"/>
    <w:rsid w:val="4FE73A6D"/>
    <w:rsid w:val="4FEB699A"/>
    <w:rsid w:val="4FF22676"/>
    <w:rsid w:val="4FFE1B06"/>
    <w:rsid w:val="50047F66"/>
    <w:rsid w:val="50051019"/>
    <w:rsid w:val="50090729"/>
    <w:rsid w:val="500A40D7"/>
    <w:rsid w:val="502138A5"/>
    <w:rsid w:val="502723B7"/>
    <w:rsid w:val="503559EC"/>
    <w:rsid w:val="5048257B"/>
    <w:rsid w:val="505A67EB"/>
    <w:rsid w:val="507157DD"/>
    <w:rsid w:val="50750658"/>
    <w:rsid w:val="50765757"/>
    <w:rsid w:val="507B5639"/>
    <w:rsid w:val="507C1E50"/>
    <w:rsid w:val="508C15FC"/>
    <w:rsid w:val="509A4F40"/>
    <w:rsid w:val="50A453B0"/>
    <w:rsid w:val="50A54361"/>
    <w:rsid w:val="50A76EC8"/>
    <w:rsid w:val="50AC248D"/>
    <w:rsid w:val="50B63FD8"/>
    <w:rsid w:val="50BB47E0"/>
    <w:rsid w:val="50BD18A9"/>
    <w:rsid w:val="50C142A9"/>
    <w:rsid w:val="50C4646F"/>
    <w:rsid w:val="50C46BEE"/>
    <w:rsid w:val="50C85FB7"/>
    <w:rsid w:val="50DC43A9"/>
    <w:rsid w:val="50E02CFE"/>
    <w:rsid w:val="50E33CEC"/>
    <w:rsid w:val="50FC73BD"/>
    <w:rsid w:val="5104794E"/>
    <w:rsid w:val="5107352A"/>
    <w:rsid w:val="510F1A3E"/>
    <w:rsid w:val="5110524E"/>
    <w:rsid w:val="511C360D"/>
    <w:rsid w:val="511C56B7"/>
    <w:rsid w:val="511D153D"/>
    <w:rsid w:val="51205FD8"/>
    <w:rsid w:val="513C4376"/>
    <w:rsid w:val="51400930"/>
    <w:rsid w:val="51435D0C"/>
    <w:rsid w:val="5144296E"/>
    <w:rsid w:val="51446169"/>
    <w:rsid w:val="51453FF0"/>
    <w:rsid w:val="514F5C22"/>
    <w:rsid w:val="515E509C"/>
    <w:rsid w:val="516B6A17"/>
    <w:rsid w:val="516E22FB"/>
    <w:rsid w:val="517765FC"/>
    <w:rsid w:val="517D19DC"/>
    <w:rsid w:val="51893EC7"/>
    <w:rsid w:val="51935212"/>
    <w:rsid w:val="519A032B"/>
    <w:rsid w:val="519E21FD"/>
    <w:rsid w:val="51A6048B"/>
    <w:rsid w:val="51AA50F9"/>
    <w:rsid w:val="51AF4074"/>
    <w:rsid w:val="51B06B92"/>
    <w:rsid w:val="51B07591"/>
    <w:rsid w:val="51B43002"/>
    <w:rsid w:val="51BA4306"/>
    <w:rsid w:val="51BB1A11"/>
    <w:rsid w:val="51BD6C11"/>
    <w:rsid w:val="51BF6DF9"/>
    <w:rsid w:val="51C770AC"/>
    <w:rsid w:val="51CD6199"/>
    <w:rsid w:val="51D12A33"/>
    <w:rsid w:val="51D5080E"/>
    <w:rsid w:val="51D60111"/>
    <w:rsid w:val="51DA58AE"/>
    <w:rsid w:val="51E247EE"/>
    <w:rsid w:val="51E5449B"/>
    <w:rsid w:val="51E66508"/>
    <w:rsid w:val="51E847AF"/>
    <w:rsid w:val="51E94EA3"/>
    <w:rsid w:val="51EA7907"/>
    <w:rsid w:val="52017EFE"/>
    <w:rsid w:val="5211520E"/>
    <w:rsid w:val="521B44C0"/>
    <w:rsid w:val="521E5FFD"/>
    <w:rsid w:val="521F23EC"/>
    <w:rsid w:val="52217DB8"/>
    <w:rsid w:val="52230F41"/>
    <w:rsid w:val="52392E93"/>
    <w:rsid w:val="52401870"/>
    <w:rsid w:val="524450A3"/>
    <w:rsid w:val="52510CC8"/>
    <w:rsid w:val="52540F2B"/>
    <w:rsid w:val="525457BB"/>
    <w:rsid w:val="52583CBA"/>
    <w:rsid w:val="52643FB3"/>
    <w:rsid w:val="52667EA9"/>
    <w:rsid w:val="526D7E77"/>
    <w:rsid w:val="5270414C"/>
    <w:rsid w:val="527C6137"/>
    <w:rsid w:val="528331E0"/>
    <w:rsid w:val="52854BA3"/>
    <w:rsid w:val="52884091"/>
    <w:rsid w:val="529C2335"/>
    <w:rsid w:val="52A770BB"/>
    <w:rsid w:val="52B224F0"/>
    <w:rsid w:val="52B41F04"/>
    <w:rsid w:val="52B83B1E"/>
    <w:rsid w:val="52C378C2"/>
    <w:rsid w:val="52C660C9"/>
    <w:rsid w:val="52C93B57"/>
    <w:rsid w:val="52CF29D7"/>
    <w:rsid w:val="52D94139"/>
    <w:rsid w:val="52DF5DCE"/>
    <w:rsid w:val="52E249FF"/>
    <w:rsid w:val="52E3567F"/>
    <w:rsid w:val="52ED06D4"/>
    <w:rsid w:val="52EF2F54"/>
    <w:rsid w:val="52F26E1D"/>
    <w:rsid w:val="53001BB3"/>
    <w:rsid w:val="530265E4"/>
    <w:rsid w:val="5303553A"/>
    <w:rsid w:val="53143779"/>
    <w:rsid w:val="53170772"/>
    <w:rsid w:val="53190A23"/>
    <w:rsid w:val="531B1336"/>
    <w:rsid w:val="531B3817"/>
    <w:rsid w:val="53264D65"/>
    <w:rsid w:val="532931AC"/>
    <w:rsid w:val="5329727D"/>
    <w:rsid w:val="5333135D"/>
    <w:rsid w:val="5335141B"/>
    <w:rsid w:val="53362768"/>
    <w:rsid w:val="53400B7B"/>
    <w:rsid w:val="534555A6"/>
    <w:rsid w:val="534722A1"/>
    <w:rsid w:val="53501B3A"/>
    <w:rsid w:val="535B3F9E"/>
    <w:rsid w:val="535F343B"/>
    <w:rsid w:val="536129FA"/>
    <w:rsid w:val="53671704"/>
    <w:rsid w:val="5367646B"/>
    <w:rsid w:val="536A2A38"/>
    <w:rsid w:val="536B0CB9"/>
    <w:rsid w:val="537514ED"/>
    <w:rsid w:val="53764081"/>
    <w:rsid w:val="537E4B8D"/>
    <w:rsid w:val="53812044"/>
    <w:rsid w:val="53815461"/>
    <w:rsid w:val="538E368B"/>
    <w:rsid w:val="539672BA"/>
    <w:rsid w:val="53976B51"/>
    <w:rsid w:val="53987838"/>
    <w:rsid w:val="53AA3B4C"/>
    <w:rsid w:val="53AB168D"/>
    <w:rsid w:val="53AC30B8"/>
    <w:rsid w:val="53AD1FC2"/>
    <w:rsid w:val="53B0064F"/>
    <w:rsid w:val="53B07B30"/>
    <w:rsid w:val="53CD3590"/>
    <w:rsid w:val="53D273A4"/>
    <w:rsid w:val="53D32C63"/>
    <w:rsid w:val="53D500A7"/>
    <w:rsid w:val="53D83A0A"/>
    <w:rsid w:val="53DE6F83"/>
    <w:rsid w:val="53E17EA9"/>
    <w:rsid w:val="53E54BA8"/>
    <w:rsid w:val="53EA2B5E"/>
    <w:rsid w:val="53EB113C"/>
    <w:rsid w:val="53EC58A9"/>
    <w:rsid w:val="53EF3446"/>
    <w:rsid w:val="53F01264"/>
    <w:rsid w:val="53FC0EC4"/>
    <w:rsid w:val="5400395F"/>
    <w:rsid w:val="54040192"/>
    <w:rsid w:val="54062707"/>
    <w:rsid w:val="541233D7"/>
    <w:rsid w:val="54135A6D"/>
    <w:rsid w:val="541C389D"/>
    <w:rsid w:val="541F29DD"/>
    <w:rsid w:val="543F7F1E"/>
    <w:rsid w:val="54452630"/>
    <w:rsid w:val="5448592B"/>
    <w:rsid w:val="544C7BFD"/>
    <w:rsid w:val="544D75B2"/>
    <w:rsid w:val="545029C2"/>
    <w:rsid w:val="5450301F"/>
    <w:rsid w:val="5450471C"/>
    <w:rsid w:val="5455388C"/>
    <w:rsid w:val="54617393"/>
    <w:rsid w:val="546A3A38"/>
    <w:rsid w:val="54701B74"/>
    <w:rsid w:val="547043E7"/>
    <w:rsid w:val="5474514E"/>
    <w:rsid w:val="547651B8"/>
    <w:rsid w:val="54780EBC"/>
    <w:rsid w:val="547E1326"/>
    <w:rsid w:val="547F33FC"/>
    <w:rsid w:val="54800440"/>
    <w:rsid w:val="548379B4"/>
    <w:rsid w:val="54913870"/>
    <w:rsid w:val="54B409B1"/>
    <w:rsid w:val="54C2646B"/>
    <w:rsid w:val="54C72B03"/>
    <w:rsid w:val="54CC69D9"/>
    <w:rsid w:val="54CD0339"/>
    <w:rsid w:val="54D65F23"/>
    <w:rsid w:val="54E94703"/>
    <w:rsid w:val="54EA17CF"/>
    <w:rsid w:val="54EF0AAE"/>
    <w:rsid w:val="54F65EB5"/>
    <w:rsid w:val="54F77F3B"/>
    <w:rsid w:val="54F9507D"/>
    <w:rsid w:val="55090AE5"/>
    <w:rsid w:val="550A6C14"/>
    <w:rsid w:val="550E65CB"/>
    <w:rsid w:val="550F6D7E"/>
    <w:rsid w:val="5518442B"/>
    <w:rsid w:val="55234AAE"/>
    <w:rsid w:val="552611B1"/>
    <w:rsid w:val="552F37C9"/>
    <w:rsid w:val="553271D3"/>
    <w:rsid w:val="55434CE1"/>
    <w:rsid w:val="554747DA"/>
    <w:rsid w:val="554B700A"/>
    <w:rsid w:val="554F2666"/>
    <w:rsid w:val="5551138E"/>
    <w:rsid w:val="55535008"/>
    <w:rsid w:val="556B54A4"/>
    <w:rsid w:val="556C60B3"/>
    <w:rsid w:val="556D2DC6"/>
    <w:rsid w:val="55754E2B"/>
    <w:rsid w:val="55765FF9"/>
    <w:rsid w:val="55945D37"/>
    <w:rsid w:val="559D089E"/>
    <w:rsid w:val="55AA0F8C"/>
    <w:rsid w:val="55BD3C85"/>
    <w:rsid w:val="55BE4988"/>
    <w:rsid w:val="55C55FE9"/>
    <w:rsid w:val="55C87E5B"/>
    <w:rsid w:val="55CD5E8D"/>
    <w:rsid w:val="55D50038"/>
    <w:rsid w:val="55D50823"/>
    <w:rsid w:val="55DB4561"/>
    <w:rsid w:val="55E50297"/>
    <w:rsid w:val="55EB1F25"/>
    <w:rsid w:val="55F22B97"/>
    <w:rsid w:val="55F2384B"/>
    <w:rsid w:val="560018F2"/>
    <w:rsid w:val="5602321E"/>
    <w:rsid w:val="561724C2"/>
    <w:rsid w:val="561A64ED"/>
    <w:rsid w:val="561B14C6"/>
    <w:rsid w:val="562231D6"/>
    <w:rsid w:val="56235060"/>
    <w:rsid w:val="562612A8"/>
    <w:rsid w:val="562F5334"/>
    <w:rsid w:val="563B0D9C"/>
    <w:rsid w:val="563E5AB2"/>
    <w:rsid w:val="5641535E"/>
    <w:rsid w:val="56450423"/>
    <w:rsid w:val="564725B8"/>
    <w:rsid w:val="564A319E"/>
    <w:rsid w:val="564C522B"/>
    <w:rsid w:val="56516667"/>
    <w:rsid w:val="565A245E"/>
    <w:rsid w:val="565D33A7"/>
    <w:rsid w:val="56694F90"/>
    <w:rsid w:val="566D641D"/>
    <w:rsid w:val="56752FC4"/>
    <w:rsid w:val="56875177"/>
    <w:rsid w:val="568D0510"/>
    <w:rsid w:val="56974290"/>
    <w:rsid w:val="56987115"/>
    <w:rsid w:val="569E1BFB"/>
    <w:rsid w:val="56A24E81"/>
    <w:rsid w:val="56A501F8"/>
    <w:rsid w:val="56BE75E9"/>
    <w:rsid w:val="56C055FC"/>
    <w:rsid w:val="56C41E6D"/>
    <w:rsid w:val="56CC638C"/>
    <w:rsid w:val="56D16450"/>
    <w:rsid w:val="56D3410E"/>
    <w:rsid w:val="56D51BC3"/>
    <w:rsid w:val="56DB67A7"/>
    <w:rsid w:val="56DE76AA"/>
    <w:rsid w:val="56E10C5F"/>
    <w:rsid w:val="56EA6265"/>
    <w:rsid w:val="56F22C90"/>
    <w:rsid w:val="56F506A8"/>
    <w:rsid w:val="57034083"/>
    <w:rsid w:val="570573AC"/>
    <w:rsid w:val="57080799"/>
    <w:rsid w:val="570C46B0"/>
    <w:rsid w:val="570D273C"/>
    <w:rsid w:val="570D62FF"/>
    <w:rsid w:val="57185D50"/>
    <w:rsid w:val="572F3778"/>
    <w:rsid w:val="573518D3"/>
    <w:rsid w:val="5738404A"/>
    <w:rsid w:val="57390153"/>
    <w:rsid w:val="573D3614"/>
    <w:rsid w:val="57427A11"/>
    <w:rsid w:val="57501DED"/>
    <w:rsid w:val="57547D67"/>
    <w:rsid w:val="57634140"/>
    <w:rsid w:val="576524BB"/>
    <w:rsid w:val="5765634A"/>
    <w:rsid w:val="576D3E77"/>
    <w:rsid w:val="577E64AD"/>
    <w:rsid w:val="577F5FA9"/>
    <w:rsid w:val="577F68C1"/>
    <w:rsid w:val="57812F5F"/>
    <w:rsid w:val="578201E9"/>
    <w:rsid w:val="57A1557A"/>
    <w:rsid w:val="57A50BBD"/>
    <w:rsid w:val="57A95AEC"/>
    <w:rsid w:val="57B62664"/>
    <w:rsid w:val="57C24C91"/>
    <w:rsid w:val="57D72150"/>
    <w:rsid w:val="57DC2F5F"/>
    <w:rsid w:val="57E431F5"/>
    <w:rsid w:val="57E91CD3"/>
    <w:rsid w:val="57EE6662"/>
    <w:rsid w:val="57F66044"/>
    <w:rsid w:val="57FC57BD"/>
    <w:rsid w:val="57FF6155"/>
    <w:rsid w:val="580140A6"/>
    <w:rsid w:val="580B6E3C"/>
    <w:rsid w:val="580C1C8E"/>
    <w:rsid w:val="580E0C7E"/>
    <w:rsid w:val="58120B37"/>
    <w:rsid w:val="581E5ECA"/>
    <w:rsid w:val="581E62DD"/>
    <w:rsid w:val="58251AFB"/>
    <w:rsid w:val="58291B84"/>
    <w:rsid w:val="58322A63"/>
    <w:rsid w:val="58342026"/>
    <w:rsid w:val="583A4ECC"/>
    <w:rsid w:val="58457294"/>
    <w:rsid w:val="584618FD"/>
    <w:rsid w:val="584A64CD"/>
    <w:rsid w:val="58527C59"/>
    <w:rsid w:val="58532CF4"/>
    <w:rsid w:val="585673E9"/>
    <w:rsid w:val="58597459"/>
    <w:rsid w:val="58642ED3"/>
    <w:rsid w:val="586B48D9"/>
    <w:rsid w:val="586C3CC6"/>
    <w:rsid w:val="58740EBC"/>
    <w:rsid w:val="58743043"/>
    <w:rsid w:val="58783CFA"/>
    <w:rsid w:val="58851DAC"/>
    <w:rsid w:val="588D3EBA"/>
    <w:rsid w:val="589275AB"/>
    <w:rsid w:val="58950814"/>
    <w:rsid w:val="58951088"/>
    <w:rsid w:val="58961A67"/>
    <w:rsid w:val="58990FC0"/>
    <w:rsid w:val="58A14C54"/>
    <w:rsid w:val="58A64233"/>
    <w:rsid w:val="58A75A19"/>
    <w:rsid w:val="58AA0444"/>
    <w:rsid w:val="58B62FDA"/>
    <w:rsid w:val="58BB3DC0"/>
    <w:rsid w:val="58BB6E11"/>
    <w:rsid w:val="58C10A4B"/>
    <w:rsid w:val="58C579F9"/>
    <w:rsid w:val="58C908CA"/>
    <w:rsid w:val="58D029D0"/>
    <w:rsid w:val="58D565A1"/>
    <w:rsid w:val="58D95B4A"/>
    <w:rsid w:val="58E236F3"/>
    <w:rsid w:val="58E55D25"/>
    <w:rsid w:val="58E660B8"/>
    <w:rsid w:val="58EA38F6"/>
    <w:rsid w:val="58EC5DB8"/>
    <w:rsid w:val="58EF26B0"/>
    <w:rsid w:val="58F05189"/>
    <w:rsid w:val="58F1068B"/>
    <w:rsid w:val="58FC1414"/>
    <w:rsid w:val="5906339C"/>
    <w:rsid w:val="59131292"/>
    <w:rsid w:val="591B62ED"/>
    <w:rsid w:val="59232A72"/>
    <w:rsid w:val="59307312"/>
    <w:rsid w:val="59410FBD"/>
    <w:rsid w:val="5942577F"/>
    <w:rsid w:val="594B1241"/>
    <w:rsid w:val="596A0C5D"/>
    <w:rsid w:val="596F4709"/>
    <w:rsid w:val="59792E3F"/>
    <w:rsid w:val="59881E2B"/>
    <w:rsid w:val="598C3104"/>
    <w:rsid w:val="59903A66"/>
    <w:rsid w:val="59924FF5"/>
    <w:rsid w:val="59A64B36"/>
    <w:rsid w:val="59AF6DF2"/>
    <w:rsid w:val="59B56492"/>
    <w:rsid w:val="59BC0857"/>
    <w:rsid w:val="59BF4EFD"/>
    <w:rsid w:val="59C35ACF"/>
    <w:rsid w:val="59DB3B56"/>
    <w:rsid w:val="59E235F0"/>
    <w:rsid w:val="59E66C46"/>
    <w:rsid w:val="59E87613"/>
    <w:rsid w:val="59F526EB"/>
    <w:rsid w:val="59F82547"/>
    <w:rsid w:val="5A02182B"/>
    <w:rsid w:val="5A03666B"/>
    <w:rsid w:val="5A086181"/>
    <w:rsid w:val="5A0A0C13"/>
    <w:rsid w:val="5A0D509A"/>
    <w:rsid w:val="5A18204E"/>
    <w:rsid w:val="5A18540C"/>
    <w:rsid w:val="5A2400DF"/>
    <w:rsid w:val="5A2E6F93"/>
    <w:rsid w:val="5A3A3B1E"/>
    <w:rsid w:val="5A3B140A"/>
    <w:rsid w:val="5A3F2FA4"/>
    <w:rsid w:val="5A533C21"/>
    <w:rsid w:val="5A552EDD"/>
    <w:rsid w:val="5A5E4459"/>
    <w:rsid w:val="5A64740A"/>
    <w:rsid w:val="5A664CCE"/>
    <w:rsid w:val="5A6D3FBB"/>
    <w:rsid w:val="5A746011"/>
    <w:rsid w:val="5A8A5E83"/>
    <w:rsid w:val="5A8D2322"/>
    <w:rsid w:val="5A8D5093"/>
    <w:rsid w:val="5AA05B58"/>
    <w:rsid w:val="5AA20ED6"/>
    <w:rsid w:val="5AA4447D"/>
    <w:rsid w:val="5AA708CA"/>
    <w:rsid w:val="5AAA0765"/>
    <w:rsid w:val="5AAB1534"/>
    <w:rsid w:val="5AAC551A"/>
    <w:rsid w:val="5AB362A3"/>
    <w:rsid w:val="5AB37F0E"/>
    <w:rsid w:val="5AC12B18"/>
    <w:rsid w:val="5AC740A4"/>
    <w:rsid w:val="5ACC5ABE"/>
    <w:rsid w:val="5AD04D28"/>
    <w:rsid w:val="5AF15610"/>
    <w:rsid w:val="5AF17F45"/>
    <w:rsid w:val="5AF26392"/>
    <w:rsid w:val="5AFD5309"/>
    <w:rsid w:val="5B0212D6"/>
    <w:rsid w:val="5B127639"/>
    <w:rsid w:val="5B2A28AF"/>
    <w:rsid w:val="5B2D4026"/>
    <w:rsid w:val="5B2E4BDA"/>
    <w:rsid w:val="5B3B4BE1"/>
    <w:rsid w:val="5B3F5F54"/>
    <w:rsid w:val="5B415759"/>
    <w:rsid w:val="5B4A57CC"/>
    <w:rsid w:val="5B5E6F93"/>
    <w:rsid w:val="5B6160B4"/>
    <w:rsid w:val="5B6576A9"/>
    <w:rsid w:val="5B691244"/>
    <w:rsid w:val="5B6F014B"/>
    <w:rsid w:val="5B736AF3"/>
    <w:rsid w:val="5B773940"/>
    <w:rsid w:val="5B7A3B9B"/>
    <w:rsid w:val="5B7C1860"/>
    <w:rsid w:val="5B7F50BF"/>
    <w:rsid w:val="5B817D59"/>
    <w:rsid w:val="5B824488"/>
    <w:rsid w:val="5B867F38"/>
    <w:rsid w:val="5B8A061F"/>
    <w:rsid w:val="5B8B5A3A"/>
    <w:rsid w:val="5B915005"/>
    <w:rsid w:val="5B9207A8"/>
    <w:rsid w:val="5B9F7DAC"/>
    <w:rsid w:val="5BA858A7"/>
    <w:rsid w:val="5BB075A4"/>
    <w:rsid w:val="5BB77E50"/>
    <w:rsid w:val="5BBB37E1"/>
    <w:rsid w:val="5BBB3896"/>
    <w:rsid w:val="5BCD6444"/>
    <w:rsid w:val="5BD00FF3"/>
    <w:rsid w:val="5BDA7D40"/>
    <w:rsid w:val="5C006DD5"/>
    <w:rsid w:val="5C0553DC"/>
    <w:rsid w:val="5C0D7E00"/>
    <w:rsid w:val="5C111495"/>
    <w:rsid w:val="5C165947"/>
    <w:rsid w:val="5C17282A"/>
    <w:rsid w:val="5C1739FF"/>
    <w:rsid w:val="5C2B05FE"/>
    <w:rsid w:val="5C3100CA"/>
    <w:rsid w:val="5C3405B2"/>
    <w:rsid w:val="5C353FC9"/>
    <w:rsid w:val="5C374381"/>
    <w:rsid w:val="5C4863C1"/>
    <w:rsid w:val="5C61437B"/>
    <w:rsid w:val="5C6C3BD8"/>
    <w:rsid w:val="5C725CB8"/>
    <w:rsid w:val="5C725D18"/>
    <w:rsid w:val="5C7B0A0E"/>
    <w:rsid w:val="5C817958"/>
    <w:rsid w:val="5C8C06C1"/>
    <w:rsid w:val="5C964412"/>
    <w:rsid w:val="5C992D62"/>
    <w:rsid w:val="5CAD65A1"/>
    <w:rsid w:val="5CB02287"/>
    <w:rsid w:val="5CB2756A"/>
    <w:rsid w:val="5CBA1D36"/>
    <w:rsid w:val="5CBE2888"/>
    <w:rsid w:val="5CC11316"/>
    <w:rsid w:val="5CC24B59"/>
    <w:rsid w:val="5CC26ECC"/>
    <w:rsid w:val="5CCC5196"/>
    <w:rsid w:val="5CD01559"/>
    <w:rsid w:val="5CD47D66"/>
    <w:rsid w:val="5CD56D30"/>
    <w:rsid w:val="5CDF5473"/>
    <w:rsid w:val="5CE33C28"/>
    <w:rsid w:val="5CEF196B"/>
    <w:rsid w:val="5CF67722"/>
    <w:rsid w:val="5CF71428"/>
    <w:rsid w:val="5D080A16"/>
    <w:rsid w:val="5D1715C6"/>
    <w:rsid w:val="5D1773C9"/>
    <w:rsid w:val="5D26128D"/>
    <w:rsid w:val="5D2673CB"/>
    <w:rsid w:val="5D34149D"/>
    <w:rsid w:val="5D3B5726"/>
    <w:rsid w:val="5D4178A2"/>
    <w:rsid w:val="5D4601B1"/>
    <w:rsid w:val="5D494DBC"/>
    <w:rsid w:val="5D55588E"/>
    <w:rsid w:val="5D5A0839"/>
    <w:rsid w:val="5D5C103F"/>
    <w:rsid w:val="5D645705"/>
    <w:rsid w:val="5D6C6D20"/>
    <w:rsid w:val="5D703A41"/>
    <w:rsid w:val="5D737337"/>
    <w:rsid w:val="5D7863E2"/>
    <w:rsid w:val="5D7A5CAC"/>
    <w:rsid w:val="5D7B0085"/>
    <w:rsid w:val="5D7B50D7"/>
    <w:rsid w:val="5D811B5C"/>
    <w:rsid w:val="5D8700F9"/>
    <w:rsid w:val="5D8C0BEF"/>
    <w:rsid w:val="5D900FDD"/>
    <w:rsid w:val="5D932479"/>
    <w:rsid w:val="5DAB27C9"/>
    <w:rsid w:val="5DB221B9"/>
    <w:rsid w:val="5DB46EC8"/>
    <w:rsid w:val="5DCB6A18"/>
    <w:rsid w:val="5DD371C8"/>
    <w:rsid w:val="5DDA07D7"/>
    <w:rsid w:val="5DE5396A"/>
    <w:rsid w:val="5DED633B"/>
    <w:rsid w:val="5DEF1EB3"/>
    <w:rsid w:val="5DF84E51"/>
    <w:rsid w:val="5DFA5275"/>
    <w:rsid w:val="5E0013E1"/>
    <w:rsid w:val="5E0B4121"/>
    <w:rsid w:val="5E1B308C"/>
    <w:rsid w:val="5E3422D3"/>
    <w:rsid w:val="5E3564A3"/>
    <w:rsid w:val="5E39617D"/>
    <w:rsid w:val="5E3C3C87"/>
    <w:rsid w:val="5E401CD4"/>
    <w:rsid w:val="5E43222F"/>
    <w:rsid w:val="5E46489E"/>
    <w:rsid w:val="5E47584B"/>
    <w:rsid w:val="5E4A25BB"/>
    <w:rsid w:val="5E4A295D"/>
    <w:rsid w:val="5E580B39"/>
    <w:rsid w:val="5E5A73BB"/>
    <w:rsid w:val="5E6572A9"/>
    <w:rsid w:val="5E692294"/>
    <w:rsid w:val="5E6F4588"/>
    <w:rsid w:val="5E790CA0"/>
    <w:rsid w:val="5E7945FC"/>
    <w:rsid w:val="5E930082"/>
    <w:rsid w:val="5E943E46"/>
    <w:rsid w:val="5E9E692E"/>
    <w:rsid w:val="5EB32EE1"/>
    <w:rsid w:val="5EB351E3"/>
    <w:rsid w:val="5EB6009E"/>
    <w:rsid w:val="5EC3530F"/>
    <w:rsid w:val="5ECB5E0F"/>
    <w:rsid w:val="5ED32946"/>
    <w:rsid w:val="5EDA08BE"/>
    <w:rsid w:val="5EE01601"/>
    <w:rsid w:val="5EE278D0"/>
    <w:rsid w:val="5EEF207C"/>
    <w:rsid w:val="5F0D3ABE"/>
    <w:rsid w:val="5F0E22EC"/>
    <w:rsid w:val="5F1800E8"/>
    <w:rsid w:val="5F1A3C82"/>
    <w:rsid w:val="5F1C0991"/>
    <w:rsid w:val="5F1E10BC"/>
    <w:rsid w:val="5F3838CF"/>
    <w:rsid w:val="5F3A53B0"/>
    <w:rsid w:val="5F407DE6"/>
    <w:rsid w:val="5F413F0A"/>
    <w:rsid w:val="5F4911FC"/>
    <w:rsid w:val="5F4A7918"/>
    <w:rsid w:val="5F4B3934"/>
    <w:rsid w:val="5F4C162A"/>
    <w:rsid w:val="5F4E212F"/>
    <w:rsid w:val="5F6F6111"/>
    <w:rsid w:val="5F701D7B"/>
    <w:rsid w:val="5F727FC6"/>
    <w:rsid w:val="5F781B5A"/>
    <w:rsid w:val="5F7B0DE0"/>
    <w:rsid w:val="5F7C1524"/>
    <w:rsid w:val="5F821239"/>
    <w:rsid w:val="5F9A5115"/>
    <w:rsid w:val="5FB459C4"/>
    <w:rsid w:val="5FBE38EB"/>
    <w:rsid w:val="5FBE789B"/>
    <w:rsid w:val="5FC469D3"/>
    <w:rsid w:val="5FD16718"/>
    <w:rsid w:val="5FD47E63"/>
    <w:rsid w:val="5FD862BD"/>
    <w:rsid w:val="5FDA0CA9"/>
    <w:rsid w:val="5FDD0F28"/>
    <w:rsid w:val="5FE16EF1"/>
    <w:rsid w:val="5FE42C70"/>
    <w:rsid w:val="5FF973E1"/>
    <w:rsid w:val="5FFE36F1"/>
    <w:rsid w:val="60085D90"/>
    <w:rsid w:val="60265BCA"/>
    <w:rsid w:val="602B739C"/>
    <w:rsid w:val="60334A99"/>
    <w:rsid w:val="603A2B07"/>
    <w:rsid w:val="603B585C"/>
    <w:rsid w:val="60443A82"/>
    <w:rsid w:val="60447295"/>
    <w:rsid w:val="6054527B"/>
    <w:rsid w:val="605C0865"/>
    <w:rsid w:val="60622528"/>
    <w:rsid w:val="607D45EE"/>
    <w:rsid w:val="607F45F5"/>
    <w:rsid w:val="607F6BA2"/>
    <w:rsid w:val="608E4E60"/>
    <w:rsid w:val="60966FA7"/>
    <w:rsid w:val="609B3C2C"/>
    <w:rsid w:val="60A03E13"/>
    <w:rsid w:val="60A35595"/>
    <w:rsid w:val="60A63895"/>
    <w:rsid w:val="60A652C9"/>
    <w:rsid w:val="60A82700"/>
    <w:rsid w:val="60AB1090"/>
    <w:rsid w:val="60B3575F"/>
    <w:rsid w:val="60BE3971"/>
    <w:rsid w:val="60C36BAA"/>
    <w:rsid w:val="60D333C6"/>
    <w:rsid w:val="60DA02C2"/>
    <w:rsid w:val="60E471F1"/>
    <w:rsid w:val="60F600EF"/>
    <w:rsid w:val="60F864F0"/>
    <w:rsid w:val="610244AA"/>
    <w:rsid w:val="610A5400"/>
    <w:rsid w:val="611304E9"/>
    <w:rsid w:val="611727E7"/>
    <w:rsid w:val="61186287"/>
    <w:rsid w:val="611F5FBC"/>
    <w:rsid w:val="612811FE"/>
    <w:rsid w:val="612B1D5D"/>
    <w:rsid w:val="613045F7"/>
    <w:rsid w:val="613D2F35"/>
    <w:rsid w:val="613E6D9F"/>
    <w:rsid w:val="614100E3"/>
    <w:rsid w:val="6145645F"/>
    <w:rsid w:val="614B50C1"/>
    <w:rsid w:val="61517443"/>
    <w:rsid w:val="615F0190"/>
    <w:rsid w:val="616059C4"/>
    <w:rsid w:val="616805E5"/>
    <w:rsid w:val="61705025"/>
    <w:rsid w:val="61705093"/>
    <w:rsid w:val="61764C9E"/>
    <w:rsid w:val="61812E22"/>
    <w:rsid w:val="618A3CF6"/>
    <w:rsid w:val="618F5E5F"/>
    <w:rsid w:val="619124B2"/>
    <w:rsid w:val="61996F91"/>
    <w:rsid w:val="61A91F4D"/>
    <w:rsid w:val="61AB7E9F"/>
    <w:rsid w:val="61B00A1E"/>
    <w:rsid w:val="61BE2899"/>
    <w:rsid w:val="61C44FB6"/>
    <w:rsid w:val="61CA4B59"/>
    <w:rsid w:val="61CA606C"/>
    <w:rsid w:val="61CE1DDF"/>
    <w:rsid w:val="61D5069C"/>
    <w:rsid w:val="61DE1513"/>
    <w:rsid w:val="61DE243F"/>
    <w:rsid w:val="61EC1029"/>
    <w:rsid w:val="61EC695E"/>
    <w:rsid w:val="61F8247C"/>
    <w:rsid w:val="61FA79CB"/>
    <w:rsid w:val="62006316"/>
    <w:rsid w:val="62143F57"/>
    <w:rsid w:val="621A51B1"/>
    <w:rsid w:val="621B7911"/>
    <w:rsid w:val="62244482"/>
    <w:rsid w:val="622446F8"/>
    <w:rsid w:val="622B0FE0"/>
    <w:rsid w:val="622B7DC9"/>
    <w:rsid w:val="622C2A0D"/>
    <w:rsid w:val="62364403"/>
    <w:rsid w:val="62387CD2"/>
    <w:rsid w:val="624067E3"/>
    <w:rsid w:val="62436960"/>
    <w:rsid w:val="62524272"/>
    <w:rsid w:val="62543E3D"/>
    <w:rsid w:val="625C6B16"/>
    <w:rsid w:val="625F53CD"/>
    <w:rsid w:val="62604FDE"/>
    <w:rsid w:val="6266409F"/>
    <w:rsid w:val="626E1F11"/>
    <w:rsid w:val="6270008C"/>
    <w:rsid w:val="62721912"/>
    <w:rsid w:val="627B5880"/>
    <w:rsid w:val="62864DC9"/>
    <w:rsid w:val="628D0640"/>
    <w:rsid w:val="6294124F"/>
    <w:rsid w:val="629F5000"/>
    <w:rsid w:val="62AC2121"/>
    <w:rsid w:val="62AF7E63"/>
    <w:rsid w:val="62B806AC"/>
    <w:rsid w:val="62C018A7"/>
    <w:rsid w:val="62C2147C"/>
    <w:rsid w:val="62C535DD"/>
    <w:rsid w:val="62CB0188"/>
    <w:rsid w:val="62D17676"/>
    <w:rsid w:val="62D32BA1"/>
    <w:rsid w:val="62E0001C"/>
    <w:rsid w:val="62F176C2"/>
    <w:rsid w:val="63022A0D"/>
    <w:rsid w:val="63027145"/>
    <w:rsid w:val="63073853"/>
    <w:rsid w:val="63075750"/>
    <w:rsid w:val="63155F18"/>
    <w:rsid w:val="63170F7C"/>
    <w:rsid w:val="63217423"/>
    <w:rsid w:val="632400BA"/>
    <w:rsid w:val="633571CC"/>
    <w:rsid w:val="6337416D"/>
    <w:rsid w:val="633B709F"/>
    <w:rsid w:val="634041B1"/>
    <w:rsid w:val="6348512C"/>
    <w:rsid w:val="634D0FFB"/>
    <w:rsid w:val="634D4E50"/>
    <w:rsid w:val="635A0C87"/>
    <w:rsid w:val="635D7FF5"/>
    <w:rsid w:val="63607B63"/>
    <w:rsid w:val="63626B0F"/>
    <w:rsid w:val="636451F8"/>
    <w:rsid w:val="63751238"/>
    <w:rsid w:val="637720C5"/>
    <w:rsid w:val="637C603C"/>
    <w:rsid w:val="637F7835"/>
    <w:rsid w:val="63861D33"/>
    <w:rsid w:val="63864396"/>
    <w:rsid w:val="638B469B"/>
    <w:rsid w:val="638D54CB"/>
    <w:rsid w:val="63900B3B"/>
    <w:rsid w:val="639F5537"/>
    <w:rsid w:val="63AC40B1"/>
    <w:rsid w:val="63AC7B01"/>
    <w:rsid w:val="63B069B7"/>
    <w:rsid w:val="63BF7C32"/>
    <w:rsid w:val="63C02AAE"/>
    <w:rsid w:val="63C85E2C"/>
    <w:rsid w:val="63D20D97"/>
    <w:rsid w:val="63D92960"/>
    <w:rsid w:val="63DB5F77"/>
    <w:rsid w:val="63DE1842"/>
    <w:rsid w:val="63E16321"/>
    <w:rsid w:val="63E35F3A"/>
    <w:rsid w:val="63E92F01"/>
    <w:rsid w:val="63EC4F0E"/>
    <w:rsid w:val="63F04C3D"/>
    <w:rsid w:val="63FF4C2E"/>
    <w:rsid w:val="64091019"/>
    <w:rsid w:val="640E5FB2"/>
    <w:rsid w:val="6419743D"/>
    <w:rsid w:val="641E2FFD"/>
    <w:rsid w:val="642D197F"/>
    <w:rsid w:val="64351649"/>
    <w:rsid w:val="64456823"/>
    <w:rsid w:val="64505561"/>
    <w:rsid w:val="6451172E"/>
    <w:rsid w:val="6452680B"/>
    <w:rsid w:val="6454481E"/>
    <w:rsid w:val="645B218B"/>
    <w:rsid w:val="645E7592"/>
    <w:rsid w:val="64690E8D"/>
    <w:rsid w:val="646949A2"/>
    <w:rsid w:val="64752152"/>
    <w:rsid w:val="64786CCF"/>
    <w:rsid w:val="64802D6E"/>
    <w:rsid w:val="6481513B"/>
    <w:rsid w:val="6481537F"/>
    <w:rsid w:val="64882347"/>
    <w:rsid w:val="648D06CB"/>
    <w:rsid w:val="64915EB2"/>
    <w:rsid w:val="64A37A75"/>
    <w:rsid w:val="64B7696A"/>
    <w:rsid w:val="64BB59A1"/>
    <w:rsid w:val="64BF2823"/>
    <w:rsid w:val="64D30230"/>
    <w:rsid w:val="64D81ED5"/>
    <w:rsid w:val="64D85ADD"/>
    <w:rsid w:val="64E25D83"/>
    <w:rsid w:val="64E45A26"/>
    <w:rsid w:val="64F16706"/>
    <w:rsid w:val="64F74413"/>
    <w:rsid w:val="64FA0716"/>
    <w:rsid w:val="650B4776"/>
    <w:rsid w:val="65163A2B"/>
    <w:rsid w:val="65182A1E"/>
    <w:rsid w:val="65194470"/>
    <w:rsid w:val="651C4230"/>
    <w:rsid w:val="652015D6"/>
    <w:rsid w:val="652972D7"/>
    <w:rsid w:val="65341AB7"/>
    <w:rsid w:val="653509CE"/>
    <w:rsid w:val="653863C9"/>
    <w:rsid w:val="653D34A1"/>
    <w:rsid w:val="653F05F7"/>
    <w:rsid w:val="654C0A01"/>
    <w:rsid w:val="654C400E"/>
    <w:rsid w:val="654C4118"/>
    <w:rsid w:val="65510B4D"/>
    <w:rsid w:val="65516865"/>
    <w:rsid w:val="655C6B59"/>
    <w:rsid w:val="655C78A3"/>
    <w:rsid w:val="65620663"/>
    <w:rsid w:val="65672507"/>
    <w:rsid w:val="656F497A"/>
    <w:rsid w:val="65891C7A"/>
    <w:rsid w:val="658E2C5A"/>
    <w:rsid w:val="65931D3A"/>
    <w:rsid w:val="659822DD"/>
    <w:rsid w:val="659E0CD8"/>
    <w:rsid w:val="65A3380C"/>
    <w:rsid w:val="65A8540C"/>
    <w:rsid w:val="65AB663F"/>
    <w:rsid w:val="65B44DD6"/>
    <w:rsid w:val="65BB4041"/>
    <w:rsid w:val="65C31A32"/>
    <w:rsid w:val="65C6174B"/>
    <w:rsid w:val="65D21F83"/>
    <w:rsid w:val="65D36CD9"/>
    <w:rsid w:val="65D55F41"/>
    <w:rsid w:val="65D60201"/>
    <w:rsid w:val="65D829E3"/>
    <w:rsid w:val="65D95B4E"/>
    <w:rsid w:val="65DC4F6E"/>
    <w:rsid w:val="65DD3442"/>
    <w:rsid w:val="65DF7A88"/>
    <w:rsid w:val="65E174B2"/>
    <w:rsid w:val="65E413AB"/>
    <w:rsid w:val="65EC2F32"/>
    <w:rsid w:val="65F01AB4"/>
    <w:rsid w:val="65FE7F42"/>
    <w:rsid w:val="66037704"/>
    <w:rsid w:val="660B3DE6"/>
    <w:rsid w:val="66100967"/>
    <w:rsid w:val="661800B4"/>
    <w:rsid w:val="661D3EEC"/>
    <w:rsid w:val="662720D2"/>
    <w:rsid w:val="662C5B0A"/>
    <w:rsid w:val="663219D1"/>
    <w:rsid w:val="6635242D"/>
    <w:rsid w:val="663A5586"/>
    <w:rsid w:val="66450C85"/>
    <w:rsid w:val="66521A19"/>
    <w:rsid w:val="66527316"/>
    <w:rsid w:val="6653533F"/>
    <w:rsid w:val="6655292C"/>
    <w:rsid w:val="66646397"/>
    <w:rsid w:val="666B183F"/>
    <w:rsid w:val="666D301C"/>
    <w:rsid w:val="66703465"/>
    <w:rsid w:val="6682631E"/>
    <w:rsid w:val="66892A30"/>
    <w:rsid w:val="668A7484"/>
    <w:rsid w:val="66905706"/>
    <w:rsid w:val="669C06FE"/>
    <w:rsid w:val="669D0FFF"/>
    <w:rsid w:val="66A37B86"/>
    <w:rsid w:val="66A57B20"/>
    <w:rsid w:val="66B87247"/>
    <w:rsid w:val="66BA77D5"/>
    <w:rsid w:val="66C1139D"/>
    <w:rsid w:val="66D12486"/>
    <w:rsid w:val="66D4710B"/>
    <w:rsid w:val="66D87459"/>
    <w:rsid w:val="66DC5B3F"/>
    <w:rsid w:val="66E03F2D"/>
    <w:rsid w:val="66E36BE5"/>
    <w:rsid w:val="66F12872"/>
    <w:rsid w:val="6703557B"/>
    <w:rsid w:val="67042386"/>
    <w:rsid w:val="67105321"/>
    <w:rsid w:val="67161209"/>
    <w:rsid w:val="671B41C4"/>
    <w:rsid w:val="671C652D"/>
    <w:rsid w:val="671D109E"/>
    <w:rsid w:val="67381AD5"/>
    <w:rsid w:val="67437CC0"/>
    <w:rsid w:val="674711AB"/>
    <w:rsid w:val="675E2286"/>
    <w:rsid w:val="676E7F3D"/>
    <w:rsid w:val="67704FAD"/>
    <w:rsid w:val="67740045"/>
    <w:rsid w:val="677D22FC"/>
    <w:rsid w:val="677E4332"/>
    <w:rsid w:val="67836156"/>
    <w:rsid w:val="679119E4"/>
    <w:rsid w:val="67A21D44"/>
    <w:rsid w:val="67A27CC2"/>
    <w:rsid w:val="67A60B9C"/>
    <w:rsid w:val="67AD0F3F"/>
    <w:rsid w:val="67B23075"/>
    <w:rsid w:val="67C25F42"/>
    <w:rsid w:val="67C271FD"/>
    <w:rsid w:val="67D41DA8"/>
    <w:rsid w:val="67D76FBF"/>
    <w:rsid w:val="67EF30B3"/>
    <w:rsid w:val="67F56318"/>
    <w:rsid w:val="68000F49"/>
    <w:rsid w:val="6803541D"/>
    <w:rsid w:val="68061993"/>
    <w:rsid w:val="6808602C"/>
    <w:rsid w:val="680B1828"/>
    <w:rsid w:val="680B2E8B"/>
    <w:rsid w:val="680D0939"/>
    <w:rsid w:val="68135252"/>
    <w:rsid w:val="6813619F"/>
    <w:rsid w:val="68181518"/>
    <w:rsid w:val="68237FD2"/>
    <w:rsid w:val="68286E52"/>
    <w:rsid w:val="68394CF3"/>
    <w:rsid w:val="68394E00"/>
    <w:rsid w:val="684557CE"/>
    <w:rsid w:val="68466D27"/>
    <w:rsid w:val="684E5C79"/>
    <w:rsid w:val="685C650C"/>
    <w:rsid w:val="68642F50"/>
    <w:rsid w:val="6866152A"/>
    <w:rsid w:val="686D127F"/>
    <w:rsid w:val="687067F6"/>
    <w:rsid w:val="68747A3A"/>
    <w:rsid w:val="687A00F3"/>
    <w:rsid w:val="68802A41"/>
    <w:rsid w:val="68842878"/>
    <w:rsid w:val="68864EF9"/>
    <w:rsid w:val="68901B29"/>
    <w:rsid w:val="689078F6"/>
    <w:rsid w:val="689304A0"/>
    <w:rsid w:val="689E7816"/>
    <w:rsid w:val="68B93D81"/>
    <w:rsid w:val="68C30186"/>
    <w:rsid w:val="68CD1043"/>
    <w:rsid w:val="68CD789A"/>
    <w:rsid w:val="68E027D7"/>
    <w:rsid w:val="68E03DF7"/>
    <w:rsid w:val="68E1315C"/>
    <w:rsid w:val="68E32D1E"/>
    <w:rsid w:val="68E3352F"/>
    <w:rsid w:val="68E6046D"/>
    <w:rsid w:val="68E65278"/>
    <w:rsid w:val="68EA0D10"/>
    <w:rsid w:val="68EC04DE"/>
    <w:rsid w:val="68FC7FC0"/>
    <w:rsid w:val="69022832"/>
    <w:rsid w:val="69071205"/>
    <w:rsid w:val="69093CAF"/>
    <w:rsid w:val="690B7520"/>
    <w:rsid w:val="691200AE"/>
    <w:rsid w:val="69152147"/>
    <w:rsid w:val="692517FE"/>
    <w:rsid w:val="692C3FBB"/>
    <w:rsid w:val="6931544C"/>
    <w:rsid w:val="693154EC"/>
    <w:rsid w:val="69317031"/>
    <w:rsid w:val="69413B3B"/>
    <w:rsid w:val="6945432C"/>
    <w:rsid w:val="694F1C0F"/>
    <w:rsid w:val="69517DBF"/>
    <w:rsid w:val="69547E70"/>
    <w:rsid w:val="69594552"/>
    <w:rsid w:val="695C7E7A"/>
    <w:rsid w:val="69636B13"/>
    <w:rsid w:val="69647D29"/>
    <w:rsid w:val="69676DA1"/>
    <w:rsid w:val="697046EC"/>
    <w:rsid w:val="697332EB"/>
    <w:rsid w:val="69766FE4"/>
    <w:rsid w:val="697E74B0"/>
    <w:rsid w:val="69880A72"/>
    <w:rsid w:val="698C1C95"/>
    <w:rsid w:val="6992357A"/>
    <w:rsid w:val="69AB1271"/>
    <w:rsid w:val="69B82F3E"/>
    <w:rsid w:val="69B868E7"/>
    <w:rsid w:val="69C76718"/>
    <w:rsid w:val="69C7697A"/>
    <w:rsid w:val="69C93883"/>
    <w:rsid w:val="69CF00C0"/>
    <w:rsid w:val="69D85016"/>
    <w:rsid w:val="69DA61FE"/>
    <w:rsid w:val="69E67C99"/>
    <w:rsid w:val="69E70959"/>
    <w:rsid w:val="69EE19C0"/>
    <w:rsid w:val="69F36455"/>
    <w:rsid w:val="69FF298F"/>
    <w:rsid w:val="6A0456C2"/>
    <w:rsid w:val="6A061B64"/>
    <w:rsid w:val="6A080B86"/>
    <w:rsid w:val="6A0A518E"/>
    <w:rsid w:val="6A0B1654"/>
    <w:rsid w:val="6A0E1913"/>
    <w:rsid w:val="6A1848C1"/>
    <w:rsid w:val="6A220495"/>
    <w:rsid w:val="6A24769B"/>
    <w:rsid w:val="6A272D1B"/>
    <w:rsid w:val="6A283E5A"/>
    <w:rsid w:val="6A2D657D"/>
    <w:rsid w:val="6A305C56"/>
    <w:rsid w:val="6A441179"/>
    <w:rsid w:val="6A5318E5"/>
    <w:rsid w:val="6A5339AC"/>
    <w:rsid w:val="6A623645"/>
    <w:rsid w:val="6A6D40BC"/>
    <w:rsid w:val="6A817C93"/>
    <w:rsid w:val="6A83685F"/>
    <w:rsid w:val="6A871F0C"/>
    <w:rsid w:val="6A90546D"/>
    <w:rsid w:val="6AA03D7A"/>
    <w:rsid w:val="6AA320BF"/>
    <w:rsid w:val="6AAB53B4"/>
    <w:rsid w:val="6AB5211E"/>
    <w:rsid w:val="6ABD3824"/>
    <w:rsid w:val="6ABF0E6A"/>
    <w:rsid w:val="6AD053F6"/>
    <w:rsid w:val="6AD21B25"/>
    <w:rsid w:val="6AD41428"/>
    <w:rsid w:val="6AD97F5A"/>
    <w:rsid w:val="6AE75EAF"/>
    <w:rsid w:val="6AF01018"/>
    <w:rsid w:val="6AF42FD3"/>
    <w:rsid w:val="6AF974E9"/>
    <w:rsid w:val="6AFB7E7A"/>
    <w:rsid w:val="6B05038A"/>
    <w:rsid w:val="6B0D7CC8"/>
    <w:rsid w:val="6B10651F"/>
    <w:rsid w:val="6B132584"/>
    <w:rsid w:val="6B172D93"/>
    <w:rsid w:val="6B1B74FE"/>
    <w:rsid w:val="6B2B66DF"/>
    <w:rsid w:val="6B2C5B02"/>
    <w:rsid w:val="6B310666"/>
    <w:rsid w:val="6B462208"/>
    <w:rsid w:val="6B6533D4"/>
    <w:rsid w:val="6B705245"/>
    <w:rsid w:val="6B762E71"/>
    <w:rsid w:val="6B776695"/>
    <w:rsid w:val="6B7C1C3D"/>
    <w:rsid w:val="6B8829BB"/>
    <w:rsid w:val="6B8A0EE1"/>
    <w:rsid w:val="6B8F438D"/>
    <w:rsid w:val="6B9A59AF"/>
    <w:rsid w:val="6BA076F0"/>
    <w:rsid w:val="6BA27C6A"/>
    <w:rsid w:val="6BB22AFA"/>
    <w:rsid w:val="6BB46EEB"/>
    <w:rsid w:val="6BB74503"/>
    <w:rsid w:val="6BC3763E"/>
    <w:rsid w:val="6BC568DE"/>
    <w:rsid w:val="6BCA00F3"/>
    <w:rsid w:val="6BCA4A4A"/>
    <w:rsid w:val="6BCF78BD"/>
    <w:rsid w:val="6BDA0C2C"/>
    <w:rsid w:val="6BDA756C"/>
    <w:rsid w:val="6BE452B3"/>
    <w:rsid w:val="6BE76664"/>
    <w:rsid w:val="6BEA45EB"/>
    <w:rsid w:val="6BEB340B"/>
    <w:rsid w:val="6BF132EB"/>
    <w:rsid w:val="6BFA18AE"/>
    <w:rsid w:val="6BFC1C27"/>
    <w:rsid w:val="6BFE0F82"/>
    <w:rsid w:val="6BFF36AF"/>
    <w:rsid w:val="6C0D5DB3"/>
    <w:rsid w:val="6C144674"/>
    <w:rsid w:val="6C184383"/>
    <w:rsid w:val="6C224A45"/>
    <w:rsid w:val="6C24541E"/>
    <w:rsid w:val="6C29022D"/>
    <w:rsid w:val="6C292952"/>
    <w:rsid w:val="6C2B5857"/>
    <w:rsid w:val="6C2E38EE"/>
    <w:rsid w:val="6C313697"/>
    <w:rsid w:val="6C3811AE"/>
    <w:rsid w:val="6C4A4F10"/>
    <w:rsid w:val="6C4E0249"/>
    <w:rsid w:val="6C4E21DC"/>
    <w:rsid w:val="6C4E6D95"/>
    <w:rsid w:val="6C5164C2"/>
    <w:rsid w:val="6C563AC9"/>
    <w:rsid w:val="6C576A17"/>
    <w:rsid w:val="6C602F3C"/>
    <w:rsid w:val="6C647BD2"/>
    <w:rsid w:val="6C6A1197"/>
    <w:rsid w:val="6C6D225A"/>
    <w:rsid w:val="6C774EA5"/>
    <w:rsid w:val="6C77611C"/>
    <w:rsid w:val="6C7D1340"/>
    <w:rsid w:val="6C7F08A6"/>
    <w:rsid w:val="6C813B69"/>
    <w:rsid w:val="6C8A7F22"/>
    <w:rsid w:val="6C8E2466"/>
    <w:rsid w:val="6C9C4317"/>
    <w:rsid w:val="6C9D26A9"/>
    <w:rsid w:val="6CA976D1"/>
    <w:rsid w:val="6CAE3BE5"/>
    <w:rsid w:val="6CB561E6"/>
    <w:rsid w:val="6CC02E2E"/>
    <w:rsid w:val="6CC726A5"/>
    <w:rsid w:val="6CCC1137"/>
    <w:rsid w:val="6CD04B41"/>
    <w:rsid w:val="6CD4339A"/>
    <w:rsid w:val="6CD9608A"/>
    <w:rsid w:val="6CD96E67"/>
    <w:rsid w:val="6CE24974"/>
    <w:rsid w:val="6CE27AF9"/>
    <w:rsid w:val="6CE30221"/>
    <w:rsid w:val="6CE66A55"/>
    <w:rsid w:val="6CF83B19"/>
    <w:rsid w:val="6CFB76D7"/>
    <w:rsid w:val="6CFD6FF9"/>
    <w:rsid w:val="6D001895"/>
    <w:rsid w:val="6D0959A3"/>
    <w:rsid w:val="6D147240"/>
    <w:rsid w:val="6D151DD8"/>
    <w:rsid w:val="6D1677AE"/>
    <w:rsid w:val="6D1715F2"/>
    <w:rsid w:val="6D1B06DE"/>
    <w:rsid w:val="6D1B4843"/>
    <w:rsid w:val="6D242CB5"/>
    <w:rsid w:val="6D3249C2"/>
    <w:rsid w:val="6D324CAD"/>
    <w:rsid w:val="6D347EA9"/>
    <w:rsid w:val="6D396037"/>
    <w:rsid w:val="6D3A1767"/>
    <w:rsid w:val="6D3B587B"/>
    <w:rsid w:val="6D4658F8"/>
    <w:rsid w:val="6D470E62"/>
    <w:rsid w:val="6D594AFC"/>
    <w:rsid w:val="6D5B1BDC"/>
    <w:rsid w:val="6D696D90"/>
    <w:rsid w:val="6D815288"/>
    <w:rsid w:val="6D860555"/>
    <w:rsid w:val="6D8B4DB4"/>
    <w:rsid w:val="6DA32C1F"/>
    <w:rsid w:val="6DA46816"/>
    <w:rsid w:val="6DB21075"/>
    <w:rsid w:val="6DBB0C65"/>
    <w:rsid w:val="6DBB120B"/>
    <w:rsid w:val="6DBE1A43"/>
    <w:rsid w:val="6DC734CC"/>
    <w:rsid w:val="6DCF476F"/>
    <w:rsid w:val="6DD2377C"/>
    <w:rsid w:val="6DDA6924"/>
    <w:rsid w:val="6DDB7D5E"/>
    <w:rsid w:val="6DE216EC"/>
    <w:rsid w:val="6DF04651"/>
    <w:rsid w:val="6DF218DD"/>
    <w:rsid w:val="6DF73BD5"/>
    <w:rsid w:val="6DF825E5"/>
    <w:rsid w:val="6DFB4166"/>
    <w:rsid w:val="6E010E59"/>
    <w:rsid w:val="6E097FD1"/>
    <w:rsid w:val="6E0D3650"/>
    <w:rsid w:val="6E19169F"/>
    <w:rsid w:val="6E1935DE"/>
    <w:rsid w:val="6E1B63AC"/>
    <w:rsid w:val="6E1E51E1"/>
    <w:rsid w:val="6E282CF9"/>
    <w:rsid w:val="6E290FBC"/>
    <w:rsid w:val="6E2D2C94"/>
    <w:rsid w:val="6E341580"/>
    <w:rsid w:val="6E367A4A"/>
    <w:rsid w:val="6E461B04"/>
    <w:rsid w:val="6E4B0A78"/>
    <w:rsid w:val="6E4C6624"/>
    <w:rsid w:val="6E582A2C"/>
    <w:rsid w:val="6E6011F9"/>
    <w:rsid w:val="6E665243"/>
    <w:rsid w:val="6E6B0CED"/>
    <w:rsid w:val="6E6E1524"/>
    <w:rsid w:val="6E6F6118"/>
    <w:rsid w:val="6E761835"/>
    <w:rsid w:val="6E7E2890"/>
    <w:rsid w:val="6E801978"/>
    <w:rsid w:val="6E825693"/>
    <w:rsid w:val="6EA13BFA"/>
    <w:rsid w:val="6EA45C05"/>
    <w:rsid w:val="6EA66674"/>
    <w:rsid w:val="6EAD4E1A"/>
    <w:rsid w:val="6EC15B86"/>
    <w:rsid w:val="6EC33B32"/>
    <w:rsid w:val="6EC4047C"/>
    <w:rsid w:val="6EC45E34"/>
    <w:rsid w:val="6EC543D7"/>
    <w:rsid w:val="6ED8429D"/>
    <w:rsid w:val="6ED865F0"/>
    <w:rsid w:val="6EE1559A"/>
    <w:rsid w:val="6EE42DEB"/>
    <w:rsid w:val="6EE54ACA"/>
    <w:rsid w:val="6EE73F93"/>
    <w:rsid w:val="6EE9442B"/>
    <w:rsid w:val="6EEC7DA0"/>
    <w:rsid w:val="6EF25F4D"/>
    <w:rsid w:val="6EFF229C"/>
    <w:rsid w:val="6F1652FC"/>
    <w:rsid w:val="6F172F34"/>
    <w:rsid w:val="6F1A2251"/>
    <w:rsid w:val="6F1B1A49"/>
    <w:rsid w:val="6F2A2CC1"/>
    <w:rsid w:val="6F2A5224"/>
    <w:rsid w:val="6F2A675D"/>
    <w:rsid w:val="6F2F50D6"/>
    <w:rsid w:val="6F2F64DB"/>
    <w:rsid w:val="6F335839"/>
    <w:rsid w:val="6F5B539B"/>
    <w:rsid w:val="6F5C6265"/>
    <w:rsid w:val="6F6265B6"/>
    <w:rsid w:val="6F703475"/>
    <w:rsid w:val="6F714A2A"/>
    <w:rsid w:val="6F7C531C"/>
    <w:rsid w:val="6F7F600C"/>
    <w:rsid w:val="6F8004C0"/>
    <w:rsid w:val="6F844DBC"/>
    <w:rsid w:val="6F8715EB"/>
    <w:rsid w:val="6F8725F7"/>
    <w:rsid w:val="6F8A1396"/>
    <w:rsid w:val="6F8A3070"/>
    <w:rsid w:val="6F8C1686"/>
    <w:rsid w:val="6F8E6F35"/>
    <w:rsid w:val="6F9260E1"/>
    <w:rsid w:val="6F951972"/>
    <w:rsid w:val="6F9E661C"/>
    <w:rsid w:val="6FA53C6B"/>
    <w:rsid w:val="6FBD6232"/>
    <w:rsid w:val="6FC01F8F"/>
    <w:rsid w:val="6FC82C63"/>
    <w:rsid w:val="6FD809F9"/>
    <w:rsid w:val="6FDC1942"/>
    <w:rsid w:val="6FE06C43"/>
    <w:rsid w:val="6FE20202"/>
    <w:rsid w:val="6FE31BB4"/>
    <w:rsid w:val="6FE64BBA"/>
    <w:rsid w:val="6FEA4288"/>
    <w:rsid w:val="6FEB4920"/>
    <w:rsid w:val="6FEC283D"/>
    <w:rsid w:val="6FF92E76"/>
    <w:rsid w:val="6FF93153"/>
    <w:rsid w:val="6FFA2C08"/>
    <w:rsid w:val="70004D4A"/>
    <w:rsid w:val="700C21C5"/>
    <w:rsid w:val="70122642"/>
    <w:rsid w:val="701557A0"/>
    <w:rsid w:val="702A275D"/>
    <w:rsid w:val="702C1BEF"/>
    <w:rsid w:val="70315516"/>
    <w:rsid w:val="70363200"/>
    <w:rsid w:val="703663BA"/>
    <w:rsid w:val="70391A57"/>
    <w:rsid w:val="703D240A"/>
    <w:rsid w:val="703D65DA"/>
    <w:rsid w:val="703F5BF3"/>
    <w:rsid w:val="704C260E"/>
    <w:rsid w:val="70531E2E"/>
    <w:rsid w:val="70543CE2"/>
    <w:rsid w:val="70561F0A"/>
    <w:rsid w:val="70621768"/>
    <w:rsid w:val="706458F5"/>
    <w:rsid w:val="7071791F"/>
    <w:rsid w:val="70752D52"/>
    <w:rsid w:val="707675BB"/>
    <w:rsid w:val="70780A97"/>
    <w:rsid w:val="708E3A6A"/>
    <w:rsid w:val="709D2DEC"/>
    <w:rsid w:val="709F20B3"/>
    <w:rsid w:val="709F2770"/>
    <w:rsid w:val="70A01767"/>
    <w:rsid w:val="70AA1CC9"/>
    <w:rsid w:val="70AA46DF"/>
    <w:rsid w:val="70AE6CA6"/>
    <w:rsid w:val="70B26F93"/>
    <w:rsid w:val="70B82C38"/>
    <w:rsid w:val="70B82FD3"/>
    <w:rsid w:val="70B95679"/>
    <w:rsid w:val="70C224AB"/>
    <w:rsid w:val="70C432B4"/>
    <w:rsid w:val="70C5722B"/>
    <w:rsid w:val="70CA3E58"/>
    <w:rsid w:val="70CC28E1"/>
    <w:rsid w:val="70CF4244"/>
    <w:rsid w:val="70D676F5"/>
    <w:rsid w:val="70D82848"/>
    <w:rsid w:val="70DF7ED0"/>
    <w:rsid w:val="70E471B7"/>
    <w:rsid w:val="70E57CA9"/>
    <w:rsid w:val="70EC65A4"/>
    <w:rsid w:val="70F82D59"/>
    <w:rsid w:val="710515F9"/>
    <w:rsid w:val="71121866"/>
    <w:rsid w:val="711501FC"/>
    <w:rsid w:val="71152AFE"/>
    <w:rsid w:val="711606F7"/>
    <w:rsid w:val="71190661"/>
    <w:rsid w:val="7119782D"/>
    <w:rsid w:val="71275730"/>
    <w:rsid w:val="713043DC"/>
    <w:rsid w:val="7135076B"/>
    <w:rsid w:val="7136359B"/>
    <w:rsid w:val="713E488C"/>
    <w:rsid w:val="7145635C"/>
    <w:rsid w:val="714977A7"/>
    <w:rsid w:val="714F1722"/>
    <w:rsid w:val="71566372"/>
    <w:rsid w:val="71593DA9"/>
    <w:rsid w:val="71655EBC"/>
    <w:rsid w:val="716B30B6"/>
    <w:rsid w:val="7175261E"/>
    <w:rsid w:val="71754026"/>
    <w:rsid w:val="718744A3"/>
    <w:rsid w:val="7193246D"/>
    <w:rsid w:val="71972789"/>
    <w:rsid w:val="7198256C"/>
    <w:rsid w:val="719C7B18"/>
    <w:rsid w:val="719E7939"/>
    <w:rsid w:val="71BA6AE0"/>
    <w:rsid w:val="71BB5741"/>
    <w:rsid w:val="71C30E32"/>
    <w:rsid w:val="71C94663"/>
    <w:rsid w:val="71CE7B26"/>
    <w:rsid w:val="71D55662"/>
    <w:rsid w:val="71E02D3A"/>
    <w:rsid w:val="71E6568E"/>
    <w:rsid w:val="71E93A2C"/>
    <w:rsid w:val="71EB7849"/>
    <w:rsid w:val="71F24FB3"/>
    <w:rsid w:val="71F52906"/>
    <w:rsid w:val="71FB5ABE"/>
    <w:rsid w:val="72042107"/>
    <w:rsid w:val="720D1F2F"/>
    <w:rsid w:val="72134EA2"/>
    <w:rsid w:val="72256327"/>
    <w:rsid w:val="723A0516"/>
    <w:rsid w:val="723F37E3"/>
    <w:rsid w:val="7249798C"/>
    <w:rsid w:val="724A7BCE"/>
    <w:rsid w:val="7254225E"/>
    <w:rsid w:val="725F6779"/>
    <w:rsid w:val="726A18B5"/>
    <w:rsid w:val="726D6FD7"/>
    <w:rsid w:val="727D4077"/>
    <w:rsid w:val="727F0D1C"/>
    <w:rsid w:val="728409C4"/>
    <w:rsid w:val="72863AA7"/>
    <w:rsid w:val="728F7ACD"/>
    <w:rsid w:val="72943159"/>
    <w:rsid w:val="72953AF1"/>
    <w:rsid w:val="72964E16"/>
    <w:rsid w:val="729C07FE"/>
    <w:rsid w:val="729C1ED0"/>
    <w:rsid w:val="729D10E3"/>
    <w:rsid w:val="72A22DDA"/>
    <w:rsid w:val="72A44BC2"/>
    <w:rsid w:val="72B20521"/>
    <w:rsid w:val="72B80B69"/>
    <w:rsid w:val="72BF19FA"/>
    <w:rsid w:val="72C4162D"/>
    <w:rsid w:val="72C9473B"/>
    <w:rsid w:val="72CE60E3"/>
    <w:rsid w:val="72DC7380"/>
    <w:rsid w:val="72DE30C9"/>
    <w:rsid w:val="72E27499"/>
    <w:rsid w:val="72E328D4"/>
    <w:rsid w:val="72E43F2E"/>
    <w:rsid w:val="72E7346A"/>
    <w:rsid w:val="730B69EF"/>
    <w:rsid w:val="73124218"/>
    <w:rsid w:val="73150018"/>
    <w:rsid w:val="7316313D"/>
    <w:rsid w:val="731F472C"/>
    <w:rsid w:val="73225980"/>
    <w:rsid w:val="73321811"/>
    <w:rsid w:val="733351D5"/>
    <w:rsid w:val="73347CE9"/>
    <w:rsid w:val="73442CBF"/>
    <w:rsid w:val="734C1455"/>
    <w:rsid w:val="73691C33"/>
    <w:rsid w:val="7373536B"/>
    <w:rsid w:val="73770563"/>
    <w:rsid w:val="737A57E6"/>
    <w:rsid w:val="737D37CC"/>
    <w:rsid w:val="73821391"/>
    <w:rsid w:val="73852C46"/>
    <w:rsid w:val="738C4998"/>
    <w:rsid w:val="73910B21"/>
    <w:rsid w:val="739F2A38"/>
    <w:rsid w:val="73A24FAD"/>
    <w:rsid w:val="73A34E7A"/>
    <w:rsid w:val="73AA445A"/>
    <w:rsid w:val="73AA47FB"/>
    <w:rsid w:val="73AD7669"/>
    <w:rsid w:val="73AF1E4B"/>
    <w:rsid w:val="73B04BCD"/>
    <w:rsid w:val="73B65D64"/>
    <w:rsid w:val="73BC476F"/>
    <w:rsid w:val="73D14BBF"/>
    <w:rsid w:val="73E26FB6"/>
    <w:rsid w:val="73EC4687"/>
    <w:rsid w:val="73EF2AA3"/>
    <w:rsid w:val="73F70FB3"/>
    <w:rsid w:val="73FD0584"/>
    <w:rsid w:val="73FE7AD4"/>
    <w:rsid w:val="74031DBD"/>
    <w:rsid w:val="740C7FB4"/>
    <w:rsid w:val="7411406C"/>
    <w:rsid w:val="74126BC0"/>
    <w:rsid w:val="74150779"/>
    <w:rsid w:val="742722C6"/>
    <w:rsid w:val="74273790"/>
    <w:rsid w:val="743720DF"/>
    <w:rsid w:val="743D1E3C"/>
    <w:rsid w:val="74401234"/>
    <w:rsid w:val="74432E49"/>
    <w:rsid w:val="744A263B"/>
    <w:rsid w:val="744D309E"/>
    <w:rsid w:val="745C1017"/>
    <w:rsid w:val="745C2583"/>
    <w:rsid w:val="746022ED"/>
    <w:rsid w:val="74636492"/>
    <w:rsid w:val="74662ED2"/>
    <w:rsid w:val="746D384B"/>
    <w:rsid w:val="74714465"/>
    <w:rsid w:val="747B47C1"/>
    <w:rsid w:val="747B6FB9"/>
    <w:rsid w:val="748568CD"/>
    <w:rsid w:val="748969B2"/>
    <w:rsid w:val="749B1FF5"/>
    <w:rsid w:val="74A5111B"/>
    <w:rsid w:val="74A76C06"/>
    <w:rsid w:val="74B1185B"/>
    <w:rsid w:val="74B3733F"/>
    <w:rsid w:val="74BA3F18"/>
    <w:rsid w:val="74C11875"/>
    <w:rsid w:val="74C16799"/>
    <w:rsid w:val="74C177D1"/>
    <w:rsid w:val="74C24867"/>
    <w:rsid w:val="74C57E09"/>
    <w:rsid w:val="74D329FB"/>
    <w:rsid w:val="74D57736"/>
    <w:rsid w:val="74D76582"/>
    <w:rsid w:val="74DE1CCD"/>
    <w:rsid w:val="74E30911"/>
    <w:rsid w:val="74E41769"/>
    <w:rsid w:val="74E73B3A"/>
    <w:rsid w:val="74E92D60"/>
    <w:rsid w:val="74FC0326"/>
    <w:rsid w:val="74FD6AF9"/>
    <w:rsid w:val="75006BFF"/>
    <w:rsid w:val="75083953"/>
    <w:rsid w:val="750A2236"/>
    <w:rsid w:val="750C6A6D"/>
    <w:rsid w:val="7511631A"/>
    <w:rsid w:val="7514582F"/>
    <w:rsid w:val="751477C0"/>
    <w:rsid w:val="75207767"/>
    <w:rsid w:val="752B3379"/>
    <w:rsid w:val="752D5343"/>
    <w:rsid w:val="75426BFA"/>
    <w:rsid w:val="754B359F"/>
    <w:rsid w:val="754C0C60"/>
    <w:rsid w:val="755334CE"/>
    <w:rsid w:val="75581162"/>
    <w:rsid w:val="756C77A6"/>
    <w:rsid w:val="756E671D"/>
    <w:rsid w:val="756F6104"/>
    <w:rsid w:val="757156EB"/>
    <w:rsid w:val="757815C3"/>
    <w:rsid w:val="757D1E86"/>
    <w:rsid w:val="758B4A63"/>
    <w:rsid w:val="758C5B29"/>
    <w:rsid w:val="75971833"/>
    <w:rsid w:val="759F6F28"/>
    <w:rsid w:val="75A96BB0"/>
    <w:rsid w:val="75C24F30"/>
    <w:rsid w:val="75C37CF1"/>
    <w:rsid w:val="75C97A4F"/>
    <w:rsid w:val="75CA6FC2"/>
    <w:rsid w:val="75CB3753"/>
    <w:rsid w:val="75D0102D"/>
    <w:rsid w:val="75D72FE8"/>
    <w:rsid w:val="75D9071B"/>
    <w:rsid w:val="75DA0B91"/>
    <w:rsid w:val="75DD11C7"/>
    <w:rsid w:val="75E74788"/>
    <w:rsid w:val="75EE0DA0"/>
    <w:rsid w:val="75FE1C7F"/>
    <w:rsid w:val="75FE78F7"/>
    <w:rsid w:val="7608238C"/>
    <w:rsid w:val="76094850"/>
    <w:rsid w:val="762A6911"/>
    <w:rsid w:val="762B7BC5"/>
    <w:rsid w:val="762E71A9"/>
    <w:rsid w:val="76332C39"/>
    <w:rsid w:val="76387218"/>
    <w:rsid w:val="763B5742"/>
    <w:rsid w:val="764A13AC"/>
    <w:rsid w:val="76504B2A"/>
    <w:rsid w:val="76515480"/>
    <w:rsid w:val="765873A7"/>
    <w:rsid w:val="765A05FE"/>
    <w:rsid w:val="76695D8C"/>
    <w:rsid w:val="76742690"/>
    <w:rsid w:val="76762330"/>
    <w:rsid w:val="767B137A"/>
    <w:rsid w:val="767D65DB"/>
    <w:rsid w:val="767E1416"/>
    <w:rsid w:val="768D6682"/>
    <w:rsid w:val="768E090F"/>
    <w:rsid w:val="76A03B34"/>
    <w:rsid w:val="76A07CE9"/>
    <w:rsid w:val="76B51A95"/>
    <w:rsid w:val="76C87960"/>
    <w:rsid w:val="76CB270C"/>
    <w:rsid w:val="76D97BC5"/>
    <w:rsid w:val="76DD54F7"/>
    <w:rsid w:val="76DF4EBD"/>
    <w:rsid w:val="76E00191"/>
    <w:rsid w:val="76E4532B"/>
    <w:rsid w:val="76F15F05"/>
    <w:rsid w:val="76F529B8"/>
    <w:rsid w:val="76F65C09"/>
    <w:rsid w:val="76FB6A51"/>
    <w:rsid w:val="76FE3CC2"/>
    <w:rsid w:val="770E298E"/>
    <w:rsid w:val="77114E9A"/>
    <w:rsid w:val="77210CB8"/>
    <w:rsid w:val="77233EFD"/>
    <w:rsid w:val="7727603A"/>
    <w:rsid w:val="772E03EF"/>
    <w:rsid w:val="772E7C91"/>
    <w:rsid w:val="773310E3"/>
    <w:rsid w:val="77362DD1"/>
    <w:rsid w:val="77511B2F"/>
    <w:rsid w:val="77523C83"/>
    <w:rsid w:val="77546499"/>
    <w:rsid w:val="775D7B58"/>
    <w:rsid w:val="77691DC3"/>
    <w:rsid w:val="776B358A"/>
    <w:rsid w:val="77717F24"/>
    <w:rsid w:val="77764CA1"/>
    <w:rsid w:val="777B5FDA"/>
    <w:rsid w:val="778243A7"/>
    <w:rsid w:val="77844CD2"/>
    <w:rsid w:val="77880CD0"/>
    <w:rsid w:val="77885880"/>
    <w:rsid w:val="779043E2"/>
    <w:rsid w:val="779150B9"/>
    <w:rsid w:val="779A2A38"/>
    <w:rsid w:val="779D7FD8"/>
    <w:rsid w:val="77A67511"/>
    <w:rsid w:val="77A83023"/>
    <w:rsid w:val="77B203F2"/>
    <w:rsid w:val="77B27D81"/>
    <w:rsid w:val="77B34168"/>
    <w:rsid w:val="77B73097"/>
    <w:rsid w:val="77B853CE"/>
    <w:rsid w:val="77BE1E71"/>
    <w:rsid w:val="77C36C3C"/>
    <w:rsid w:val="77C6634D"/>
    <w:rsid w:val="77CB0788"/>
    <w:rsid w:val="77D721DC"/>
    <w:rsid w:val="77DF0EAD"/>
    <w:rsid w:val="77EA3CA6"/>
    <w:rsid w:val="78000AED"/>
    <w:rsid w:val="78080C40"/>
    <w:rsid w:val="78102276"/>
    <w:rsid w:val="78164B46"/>
    <w:rsid w:val="78175301"/>
    <w:rsid w:val="78182BF1"/>
    <w:rsid w:val="782007AA"/>
    <w:rsid w:val="782774C3"/>
    <w:rsid w:val="783A5958"/>
    <w:rsid w:val="7840126E"/>
    <w:rsid w:val="78451C24"/>
    <w:rsid w:val="784D556E"/>
    <w:rsid w:val="784E76DC"/>
    <w:rsid w:val="78515669"/>
    <w:rsid w:val="78612919"/>
    <w:rsid w:val="786146A0"/>
    <w:rsid w:val="786A010A"/>
    <w:rsid w:val="786C6EF6"/>
    <w:rsid w:val="78745195"/>
    <w:rsid w:val="787B16A2"/>
    <w:rsid w:val="787C42DD"/>
    <w:rsid w:val="788A5451"/>
    <w:rsid w:val="7891540A"/>
    <w:rsid w:val="78920831"/>
    <w:rsid w:val="789470BD"/>
    <w:rsid w:val="789D4FA3"/>
    <w:rsid w:val="78A504C8"/>
    <w:rsid w:val="78B13B0E"/>
    <w:rsid w:val="78B8775D"/>
    <w:rsid w:val="78B91416"/>
    <w:rsid w:val="78C84750"/>
    <w:rsid w:val="78CE5CDC"/>
    <w:rsid w:val="78D61A4D"/>
    <w:rsid w:val="78DA2088"/>
    <w:rsid w:val="78DF5B2B"/>
    <w:rsid w:val="78DF77D5"/>
    <w:rsid w:val="78E656E7"/>
    <w:rsid w:val="78E75646"/>
    <w:rsid w:val="78EB5EFD"/>
    <w:rsid w:val="78EF206F"/>
    <w:rsid w:val="78F8672E"/>
    <w:rsid w:val="79062161"/>
    <w:rsid w:val="790D20C1"/>
    <w:rsid w:val="791610B3"/>
    <w:rsid w:val="79162D4D"/>
    <w:rsid w:val="791A3E30"/>
    <w:rsid w:val="792D38DD"/>
    <w:rsid w:val="793149BC"/>
    <w:rsid w:val="79336CA0"/>
    <w:rsid w:val="79382508"/>
    <w:rsid w:val="793C27D0"/>
    <w:rsid w:val="793D02C4"/>
    <w:rsid w:val="79481F08"/>
    <w:rsid w:val="79496D88"/>
    <w:rsid w:val="794C1DA6"/>
    <w:rsid w:val="794F110E"/>
    <w:rsid w:val="794F5A03"/>
    <w:rsid w:val="795874B4"/>
    <w:rsid w:val="795C05B5"/>
    <w:rsid w:val="79605CAC"/>
    <w:rsid w:val="7961710C"/>
    <w:rsid w:val="796226B7"/>
    <w:rsid w:val="796C5790"/>
    <w:rsid w:val="79870D9A"/>
    <w:rsid w:val="798736BF"/>
    <w:rsid w:val="798813F5"/>
    <w:rsid w:val="798A482A"/>
    <w:rsid w:val="79905A88"/>
    <w:rsid w:val="79957516"/>
    <w:rsid w:val="799C1CF1"/>
    <w:rsid w:val="799C5797"/>
    <w:rsid w:val="79A156EC"/>
    <w:rsid w:val="79A31A75"/>
    <w:rsid w:val="79A402B6"/>
    <w:rsid w:val="79AB6836"/>
    <w:rsid w:val="79AE37F8"/>
    <w:rsid w:val="79B44348"/>
    <w:rsid w:val="79B84757"/>
    <w:rsid w:val="79BD3D02"/>
    <w:rsid w:val="79C32FEF"/>
    <w:rsid w:val="79C619C0"/>
    <w:rsid w:val="79CF720E"/>
    <w:rsid w:val="79D13944"/>
    <w:rsid w:val="79D30053"/>
    <w:rsid w:val="79DE7C8F"/>
    <w:rsid w:val="79E52441"/>
    <w:rsid w:val="7A0A209D"/>
    <w:rsid w:val="7A1213EE"/>
    <w:rsid w:val="7A122D59"/>
    <w:rsid w:val="7A1270C4"/>
    <w:rsid w:val="7A183A02"/>
    <w:rsid w:val="7A2013FC"/>
    <w:rsid w:val="7A215327"/>
    <w:rsid w:val="7A293534"/>
    <w:rsid w:val="7A293831"/>
    <w:rsid w:val="7A344CF1"/>
    <w:rsid w:val="7A3643BA"/>
    <w:rsid w:val="7A380C3F"/>
    <w:rsid w:val="7A3B042E"/>
    <w:rsid w:val="7A4C0DA0"/>
    <w:rsid w:val="7A5275FA"/>
    <w:rsid w:val="7A560030"/>
    <w:rsid w:val="7A576A80"/>
    <w:rsid w:val="7A5C7ABE"/>
    <w:rsid w:val="7A6840CE"/>
    <w:rsid w:val="7A74304F"/>
    <w:rsid w:val="7A7F4BEA"/>
    <w:rsid w:val="7A8149C1"/>
    <w:rsid w:val="7A861051"/>
    <w:rsid w:val="7A882CF9"/>
    <w:rsid w:val="7A894151"/>
    <w:rsid w:val="7A8D23E0"/>
    <w:rsid w:val="7A9379F9"/>
    <w:rsid w:val="7A975B0F"/>
    <w:rsid w:val="7AA9318C"/>
    <w:rsid w:val="7AB302F3"/>
    <w:rsid w:val="7ABB45F6"/>
    <w:rsid w:val="7ABD6E5B"/>
    <w:rsid w:val="7AC10096"/>
    <w:rsid w:val="7AC330B7"/>
    <w:rsid w:val="7ACC2256"/>
    <w:rsid w:val="7ACE7B72"/>
    <w:rsid w:val="7ADB19DB"/>
    <w:rsid w:val="7ADC193F"/>
    <w:rsid w:val="7AE832A5"/>
    <w:rsid w:val="7AEB7633"/>
    <w:rsid w:val="7AEE7D5A"/>
    <w:rsid w:val="7AF119DB"/>
    <w:rsid w:val="7AF5375D"/>
    <w:rsid w:val="7B036EB4"/>
    <w:rsid w:val="7B0B05F7"/>
    <w:rsid w:val="7B0D2B9B"/>
    <w:rsid w:val="7B0D3C52"/>
    <w:rsid w:val="7B104AFF"/>
    <w:rsid w:val="7B1810CF"/>
    <w:rsid w:val="7B2C15CA"/>
    <w:rsid w:val="7B2C61C2"/>
    <w:rsid w:val="7B390BF2"/>
    <w:rsid w:val="7B3B4633"/>
    <w:rsid w:val="7B4162C7"/>
    <w:rsid w:val="7B4C7AD1"/>
    <w:rsid w:val="7B534E2D"/>
    <w:rsid w:val="7B5C622D"/>
    <w:rsid w:val="7B683189"/>
    <w:rsid w:val="7B6A3E7D"/>
    <w:rsid w:val="7B6F3D02"/>
    <w:rsid w:val="7B77431B"/>
    <w:rsid w:val="7B88567D"/>
    <w:rsid w:val="7B8F0AFD"/>
    <w:rsid w:val="7B95779E"/>
    <w:rsid w:val="7B961F8A"/>
    <w:rsid w:val="7B98535A"/>
    <w:rsid w:val="7B9B7BF7"/>
    <w:rsid w:val="7BA57FBA"/>
    <w:rsid w:val="7BA821FD"/>
    <w:rsid w:val="7BAE48FC"/>
    <w:rsid w:val="7BB32376"/>
    <w:rsid w:val="7BB83DF8"/>
    <w:rsid w:val="7BBA2E35"/>
    <w:rsid w:val="7BC76B4E"/>
    <w:rsid w:val="7BC84704"/>
    <w:rsid w:val="7BCC163B"/>
    <w:rsid w:val="7BCC236D"/>
    <w:rsid w:val="7BCC7CAA"/>
    <w:rsid w:val="7BDF1ACF"/>
    <w:rsid w:val="7BE4540B"/>
    <w:rsid w:val="7BE66796"/>
    <w:rsid w:val="7BF00E78"/>
    <w:rsid w:val="7BFF4559"/>
    <w:rsid w:val="7C0827FE"/>
    <w:rsid w:val="7C084E85"/>
    <w:rsid w:val="7C164F89"/>
    <w:rsid w:val="7C1A756B"/>
    <w:rsid w:val="7C1B1028"/>
    <w:rsid w:val="7C226546"/>
    <w:rsid w:val="7C251562"/>
    <w:rsid w:val="7C2B0B13"/>
    <w:rsid w:val="7C2B2034"/>
    <w:rsid w:val="7C2E613C"/>
    <w:rsid w:val="7C3043FE"/>
    <w:rsid w:val="7C374594"/>
    <w:rsid w:val="7C3C0747"/>
    <w:rsid w:val="7C4569BE"/>
    <w:rsid w:val="7C4F607B"/>
    <w:rsid w:val="7C517240"/>
    <w:rsid w:val="7C5807CC"/>
    <w:rsid w:val="7C583982"/>
    <w:rsid w:val="7C61722C"/>
    <w:rsid w:val="7C6972EC"/>
    <w:rsid w:val="7C6B22AE"/>
    <w:rsid w:val="7C7A6994"/>
    <w:rsid w:val="7C7D0B32"/>
    <w:rsid w:val="7C875C5D"/>
    <w:rsid w:val="7C8B1147"/>
    <w:rsid w:val="7C8C5EFB"/>
    <w:rsid w:val="7C9F1C4C"/>
    <w:rsid w:val="7CA30A20"/>
    <w:rsid w:val="7CA31AB6"/>
    <w:rsid w:val="7CA4518D"/>
    <w:rsid w:val="7CA50BAD"/>
    <w:rsid w:val="7CB47910"/>
    <w:rsid w:val="7CB708C6"/>
    <w:rsid w:val="7CBE5D37"/>
    <w:rsid w:val="7CD17149"/>
    <w:rsid w:val="7CD27243"/>
    <w:rsid w:val="7CD730F8"/>
    <w:rsid w:val="7CE95DFB"/>
    <w:rsid w:val="7CEA4595"/>
    <w:rsid w:val="7CEA756D"/>
    <w:rsid w:val="7CEF6F02"/>
    <w:rsid w:val="7CF11D62"/>
    <w:rsid w:val="7CFB6A2F"/>
    <w:rsid w:val="7D027F2A"/>
    <w:rsid w:val="7D061726"/>
    <w:rsid w:val="7D0A1A32"/>
    <w:rsid w:val="7D0C1069"/>
    <w:rsid w:val="7D0E4B5B"/>
    <w:rsid w:val="7D245DBB"/>
    <w:rsid w:val="7D250FF6"/>
    <w:rsid w:val="7D3170D9"/>
    <w:rsid w:val="7D33504E"/>
    <w:rsid w:val="7D362C54"/>
    <w:rsid w:val="7D3B012B"/>
    <w:rsid w:val="7D3C08AA"/>
    <w:rsid w:val="7D3F4BE3"/>
    <w:rsid w:val="7D477F4C"/>
    <w:rsid w:val="7D4928DE"/>
    <w:rsid w:val="7D4C0330"/>
    <w:rsid w:val="7D4C641E"/>
    <w:rsid w:val="7D4D2034"/>
    <w:rsid w:val="7D5C493C"/>
    <w:rsid w:val="7D6E4CF8"/>
    <w:rsid w:val="7D7C3D68"/>
    <w:rsid w:val="7D817B4C"/>
    <w:rsid w:val="7D881DCE"/>
    <w:rsid w:val="7D96044B"/>
    <w:rsid w:val="7DA90486"/>
    <w:rsid w:val="7DAE540F"/>
    <w:rsid w:val="7DB07FBB"/>
    <w:rsid w:val="7DBF0B02"/>
    <w:rsid w:val="7DC63571"/>
    <w:rsid w:val="7DC767AB"/>
    <w:rsid w:val="7DCB2063"/>
    <w:rsid w:val="7DD112B2"/>
    <w:rsid w:val="7DD318F4"/>
    <w:rsid w:val="7DEA41A0"/>
    <w:rsid w:val="7DF5241B"/>
    <w:rsid w:val="7DF7247F"/>
    <w:rsid w:val="7DF84014"/>
    <w:rsid w:val="7E01736D"/>
    <w:rsid w:val="7E0E7855"/>
    <w:rsid w:val="7E17623B"/>
    <w:rsid w:val="7E193EE2"/>
    <w:rsid w:val="7E1F2DD5"/>
    <w:rsid w:val="7E256BD9"/>
    <w:rsid w:val="7E2902F5"/>
    <w:rsid w:val="7E3833AC"/>
    <w:rsid w:val="7E4030AD"/>
    <w:rsid w:val="7E4313B6"/>
    <w:rsid w:val="7E480690"/>
    <w:rsid w:val="7E574A6E"/>
    <w:rsid w:val="7E61326B"/>
    <w:rsid w:val="7E6416AA"/>
    <w:rsid w:val="7E672F90"/>
    <w:rsid w:val="7E6A5017"/>
    <w:rsid w:val="7E701D11"/>
    <w:rsid w:val="7E762791"/>
    <w:rsid w:val="7E804FCB"/>
    <w:rsid w:val="7E8104AE"/>
    <w:rsid w:val="7E8533A3"/>
    <w:rsid w:val="7E8A0601"/>
    <w:rsid w:val="7E8B30DA"/>
    <w:rsid w:val="7E8E42BF"/>
    <w:rsid w:val="7E90165D"/>
    <w:rsid w:val="7E9212CE"/>
    <w:rsid w:val="7E971EEC"/>
    <w:rsid w:val="7E9F6584"/>
    <w:rsid w:val="7EA737EF"/>
    <w:rsid w:val="7EA85A3A"/>
    <w:rsid w:val="7EB439D1"/>
    <w:rsid w:val="7EB819E3"/>
    <w:rsid w:val="7EC03FD7"/>
    <w:rsid w:val="7EC42148"/>
    <w:rsid w:val="7ECB461D"/>
    <w:rsid w:val="7ED405DD"/>
    <w:rsid w:val="7ED44F77"/>
    <w:rsid w:val="7ED544B5"/>
    <w:rsid w:val="7EDB49B6"/>
    <w:rsid w:val="7EE6466E"/>
    <w:rsid w:val="7EF249D0"/>
    <w:rsid w:val="7F005876"/>
    <w:rsid w:val="7F0D0F48"/>
    <w:rsid w:val="7F0E3802"/>
    <w:rsid w:val="7F14671E"/>
    <w:rsid w:val="7F1B5E8E"/>
    <w:rsid w:val="7F233313"/>
    <w:rsid w:val="7F2D77EE"/>
    <w:rsid w:val="7F2E4552"/>
    <w:rsid w:val="7F337740"/>
    <w:rsid w:val="7F3A609B"/>
    <w:rsid w:val="7F4C286A"/>
    <w:rsid w:val="7F5117A9"/>
    <w:rsid w:val="7F5412C6"/>
    <w:rsid w:val="7F554F26"/>
    <w:rsid w:val="7F637BB3"/>
    <w:rsid w:val="7F7119F3"/>
    <w:rsid w:val="7F7A61B5"/>
    <w:rsid w:val="7F8029CE"/>
    <w:rsid w:val="7F853AB6"/>
    <w:rsid w:val="7F8D4C51"/>
    <w:rsid w:val="7F8E5DD1"/>
    <w:rsid w:val="7F942BE1"/>
    <w:rsid w:val="7F961D37"/>
    <w:rsid w:val="7F9D3734"/>
    <w:rsid w:val="7FA23687"/>
    <w:rsid w:val="7FA71F3A"/>
    <w:rsid w:val="7FB16B07"/>
    <w:rsid w:val="7FC379A1"/>
    <w:rsid w:val="7FC638A9"/>
    <w:rsid w:val="7FCA1117"/>
    <w:rsid w:val="7FD36B0A"/>
    <w:rsid w:val="7FD540F2"/>
    <w:rsid w:val="7FD64829"/>
    <w:rsid w:val="7FDB0ACF"/>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2">
    <w:name w:val="heading 2"/>
    <w:basedOn w:val="1"/>
    <w:next w:val="1"/>
    <w:link w:val="36"/>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rPr>
      <w:rFonts w:eastAsia="宋体"/>
    </w:rPr>
  </w:style>
  <w:style w:type="paragraph" w:styleId="10">
    <w:name w:val="annotation text"/>
    <w:basedOn w:val="1"/>
    <w:qFormat/>
    <w:uiPriority w:val="0"/>
    <w:pPr>
      <w:jc w:val="left"/>
    </w:pPr>
  </w:style>
  <w:style w:type="paragraph" w:styleId="11">
    <w:name w:val="Body Text"/>
    <w:basedOn w:val="1"/>
    <w:next w:val="1"/>
    <w:qFormat/>
    <w:uiPriority w:val="0"/>
    <w:pPr>
      <w:spacing w:after="120" w:afterLines="0"/>
    </w:pPr>
    <w:rPr>
      <w:rFonts w:ascii="Times New Roman"/>
      <w:sz w:val="24"/>
      <w:szCs w:val="24"/>
    </w:r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5"/>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4"/>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Hyperlink"/>
    <w:basedOn w:val="21"/>
    <w:qFormat/>
    <w:uiPriority w:val="0"/>
    <w:rPr>
      <w:color w:val="0000FF"/>
      <w:u w:val="single"/>
    </w:rPr>
  </w:style>
  <w:style w:type="paragraph" w:customStyle="1" w:styleId="24">
    <w:name w:val="15、“一、”二级标题"/>
    <w:basedOn w:val="1"/>
    <w:qFormat/>
    <w:uiPriority w:val="0"/>
    <w:pPr>
      <w:numPr>
        <w:ilvl w:val="1"/>
        <w:numId w:val="2"/>
      </w:numPr>
      <w:wordWrap w:val="0"/>
      <w:topLinePunct/>
      <w:ind w:firstLine="803" w:firstLineChars="200"/>
      <w:outlineLvl w:val="1"/>
    </w:pPr>
    <w:rPr>
      <w:rFonts w:ascii="宋体" w:hAnsi="宋体" w:eastAsia="宋体"/>
      <w:b/>
    </w:rPr>
  </w:style>
  <w:style w:type="paragraph" w:customStyle="1" w:styleId="25">
    <w:name w:val="14、“第一章”一级标题"/>
    <w:basedOn w:val="26"/>
    <w:qFormat/>
    <w:uiPriority w:val="0"/>
    <w:pPr>
      <w:numPr>
        <w:ilvl w:val="0"/>
        <w:numId w:val="2"/>
      </w:numPr>
      <w:spacing w:before="50" w:beforeLines="50" w:after="50" w:afterLines="50" w:line="240" w:lineRule="auto"/>
      <w:jc w:val="center"/>
      <w:outlineLvl w:val="0"/>
    </w:pPr>
    <w:rPr>
      <w:b/>
      <w:sz w:val="36"/>
    </w:rPr>
  </w:style>
  <w:style w:type="paragraph" w:customStyle="1" w:styleId="26">
    <w:name w:val="01、普通正文"/>
    <w:basedOn w:val="1"/>
    <w:link w:val="56"/>
    <w:qFormat/>
    <w:uiPriority w:val="0"/>
    <w:pPr>
      <w:wordWrap w:val="0"/>
      <w:topLinePunct/>
      <w:ind w:firstLine="0" w:firstLineChars="0"/>
    </w:pPr>
    <w:rPr>
      <w:rFonts w:ascii="宋体" w:hAnsi="宋体" w:eastAsia="宋体"/>
      <w:snapToGrid w:val="0"/>
    </w:rPr>
  </w:style>
  <w:style w:type="paragraph" w:customStyle="1" w:styleId="27">
    <w:name w:val="16、“(一)”三级标题"/>
    <w:basedOn w:val="26"/>
    <w:link w:val="54"/>
    <w:qFormat/>
    <w:uiPriority w:val="0"/>
    <w:pPr>
      <w:numPr>
        <w:ilvl w:val="2"/>
        <w:numId w:val="2"/>
      </w:numPr>
      <w:ind w:firstLine="803" w:firstLineChars="200"/>
      <w:outlineLvl w:val="2"/>
    </w:pPr>
    <w:rPr>
      <w:rFonts w:ascii="宋体" w:hAnsi="宋体" w:eastAsia="宋体"/>
      <w:b/>
    </w:rPr>
  </w:style>
  <w:style w:type="paragraph" w:customStyle="1" w:styleId="28">
    <w:name w:val="17“1.”四级标题"/>
    <w:basedOn w:val="29"/>
    <w:qFormat/>
    <w:uiPriority w:val="0"/>
    <w:pPr>
      <w:numPr>
        <w:ilvl w:val="3"/>
        <w:numId w:val="2"/>
      </w:numPr>
      <w:ind w:firstLine="803" w:firstLineChars="200"/>
    </w:pPr>
    <w:rPr>
      <w:rFonts w:ascii="宋体" w:hAnsi="宋体" w:eastAsia="宋体"/>
    </w:rPr>
  </w:style>
  <w:style w:type="paragraph" w:customStyle="1" w:styleId="29">
    <w:name w:val="02、首行缩进2字符正文"/>
    <w:basedOn w:val="1"/>
    <w:link w:val="55"/>
    <w:qFormat/>
    <w:uiPriority w:val="0"/>
    <w:pPr>
      <w:wordWrap w:val="0"/>
      <w:topLinePunct/>
      <w:ind w:firstLine="480" w:firstLineChars="200"/>
    </w:pPr>
    <w:rPr>
      <w:rFonts w:ascii="宋体" w:hAnsi="宋体" w:eastAsia="宋体"/>
    </w:rPr>
  </w:style>
  <w:style w:type="paragraph" w:customStyle="1" w:styleId="30">
    <w:name w:val="18、“1.1”五级标题"/>
    <w:basedOn w:val="28"/>
    <w:qFormat/>
    <w:uiPriority w:val="0"/>
    <w:pPr>
      <w:numPr>
        <w:ilvl w:val="4"/>
        <w:numId w:val="2"/>
      </w:numPr>
      <w:ind w:firstLine="803" w:firstLineChars="200"/>
    </w:pPr>
  </w:style>
  <w:style w:type="paragraph" w:customStyle="1" w:styleId="31">
    <w:name w:val="19、“(1)”六级标题"/>
    <w:basedOn w:val="28"/>
    <w:qFormat/>
    <w:uiPriority w:val="0"/>
    <w:pPr>
      <w:numPr>
        <w:ilvl w:val="5"/>
        <w:numId w:val="2"/>
      </w:numPr>
      <w:ind w:firstLine="803" w:firstLineChars="200"/>
    </w:pPr>
  </w:style>
  <w:style w:type="paragraph" w:customStyle="1" w:styleId="32">
    <w:name w:val="标题 5（有编号）（绿盟科技）"/>
    <w:basedOn w:val="1"/>
    <w:next w:val="33"/>
    <w:qFormat/>
    <w:uiPriority w:val="0"/>
    <w:pPr>
      <w:keepNext/>
      <w:keepLines/>
      <w:numPr>
        <w:ilvl w:val="4"/>
        <w:numId w:val="3"/>
      </w:numPr>
      <w:spacing w:before="280" w:after="156" w:line="377" w:lineRule="auto"/>
      <w:jc w:val="left"/>
      <w:outlineLvl w:val="4"/>
    </w:pPr>
    <w:rPr>
      <w:rFonts w:ascii="Arial" w:hAnsi="Arial" w:eastAsia="黑体"/>
      <w:b/>
      <w:kern w:val="0"/>
      <w:sz w:val="24"/>
      <w:szCs w:val="28"/>
    </w:rPr>
  </w:style>
  <w:style w:type="paragraph" w:customStyle="1" w:styleId="33">
    <w:name w:val="正文（绿盟科技）"/>
    <w:next w:val="1"/>
    <w:qFormat/>
    <w:uiPriority w:val="0"/>
    <w:pPr>
      <w:spacing w:line="300" w:lineRule="auto"/>
    </w:pPr>
    <w:rPr>
      <w:rFonts w:ascii="Arial" w:hAnsi="Arial" w:eastAsia="宋体" w:cs="黑体"/>
      <w:sz w:val="21"/>
      <w:szCs w:val="21"/>
      <w:lang w:val="en-US" w:eastAsia="zh-CN" w:bidi="ar-SA"/>
    </w:rPr>
  </w:style>
  <w:style w:type="character" w:customStyle="1" w:styleId="34">
    <w:name w:val="页眉 Char"/>
    <w:basedOn w:val="21"/>
    <w:link w:val="15"/>
    <w:qFormat/>
    <w:uiPriority w:val="0"/>
    <w:rPr>
      <w:rFonts w:ascii="宋体" w:hAnsi="宋体" w:eastAsia="宋体" w:cstheme="minorBidi"/>
      <w:kern w:val="2"/>
      <w:sz w:val="18"/>
      <w:szCs w:val="18"/>
    </w:rPr>
  </w:style>
  <w:style w:type="character" w:customStyle="1" w:styleId="35">
    <w:name w:val="页脚 Char"/>
    <w:basedOn w:val="21"/>
    <w:link w:val="14"/>
    <w:qFormat/>
    <w:uiPriority w:val="0"/>
    <w:rPr>
      <w:rFonts w:ascii="宋体" w:hAnsi="宋体" w:eastAsia="宋体" w:cstheme="minorBidi"/>
      <w:kern w:val="2"/>
      <w:sz w:val="18"/>
      <w:szCs w:val="18"/>
    </w:rPr>
  </w:style>
  <w:style w:type="character" w:customStyle="1" w:styleId="36">
    <w:name w:val="标题 2 Char"/>
    <w:basedOn w:val="21"/>
    <w:link w:val="2"/>
    <w:qFormat/>
    <w:uiPriority w:val="0"/>
    <w:rPr>
      <w:rFonts w:ascii="Arial" w:hAnsi="Arial" w:eastAsia="黑体"/>
      <w:b/>
      <w:sz w:val="28"/>
    </w:rPr>
  </w:style>
  <w:style w:type="paragraph" w:customStyle="1" w:styleId="37">
    <w:name w:val="05、“(一)”正文三级标题"/>
    <w:basedOn w:val="1"/>
    <w:link w:val="58"/>
    <w:qFormat/>
    <w:uiPriority w:val="0"/>
    <w:pPr>
      <w:numPr>
        <w:ilvl w:val="1"/>
        <w:numId w:val="1"/>
      </w:numPr>
      <w:wordWrap w:val="0"/>
      <w:topLinePunct/>
      <w:ind w:firstLine="803" w:firstLineChars="200"/>
    </w:pPr>
    <w:rPr>
      <w:rFonts w:ascii="宋体" w:hAnsi="宋体" w:eastAsia="宋体"/>
    </w:rPr>
  </w:style>
  <w:style w:type="paragraph" w:customStyle="1" w:styleId="38">
    <w:name w:val="00、封面正文(与其他内容无关的格式)"/>
    <w:basedOn w:val="1"/>
    <w:qFormat/>
    <w:uiPriority w:val="0"/>
    <w:rPr>
      <w:rFonts w:ascii="宋体" w:hAnsi="宋体" w:eastAsia="宋体"/>
    </w:rPr>
  </w:style>
  <w:style w:type="paragraph" w:customStyle="1" w:styleId="39">
    <w:name w:val="06、“1.”正文四级标题"/>
    <w:basedOn w:val="1"/>
    <w:link w:val="60"/>
    <w:qFormat/>
    <w:uiPriority w:val="0"/>
    <w:pPr>
      <w:numPr>
        <w:ilvl w:val="2"/>
        <w:numId w:val="1"/>
      </w:numPr>
      <w:wordWrap w:val="0"/>
      <w:topLinePunct/>
      <w:ind w:firstLine="803" w:firstLineChars="200"/>
    </w:pPr>
    <w:rPr>
      <w:rFonts w:ascii="宋体" w:hAnsi="宋体" w:eastAsia="宋体"/>
      <w:snapToGrid w:val="0"/>
    </w:rPr>
  </w:style>
  <w:style w:type="paragraph" w:customStyle="1" w:styleId="40">
    <w:name w:val="07、“1.1”正文五级标题"/>
    <w:basedOn w:val="1"/>
    <w:link w:val="52"/>
    <w:qFormat/>
    <w:uiPriority w:val="0"/>
    <w:pPr>
      <w:numPr>
        <w:ilvl w:val="3"/>
        <w:numId w:val="1"/>
      </w:numPr>
      <w:ind w:firstLine="803" w:firstLineChars="200"/>
    </w:pPr>
    <w:rPr>
      <w:rFonts w:ascii="宋体" w:hAnsi="宋体" w:eastAsia="宋体"/>
    </w:rPr>
  </w:style>
  <w:style w:type="paragraph" w:customStyle="1" w:styleId="41">
    <w:name w:val="08、“(1)”正文六级标题"/>
    <w:basedOn w:val="1"/>
    <w:link w:val="61"/>
    <w:qFormat/>
    <w:uiPriority w:val="0"/>
    <w:pPr>
      <w:numPr>
        <w:ilvl w:val="4"/>
        <w:numId w:val="1"/>
      </w:numPr>
      <w:ind w:firstLine="803" w:firstLineChars="200"/>
    </w:pPr>
    <w:rPr>
      <w:rFonts w:ascii="宋体" w:hAnsi="宋体" w:eastAsia="宋体"/>
      <w:snapToGrid w:val="0"/>
    </w:rPr>
  </w:style>
  <w:style w:type="paragraph" w:customStyle="1" w:styleId="42">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3">
    <w:name w:val="10、“1.1”表格内二级标题"/>
    <w:basedOn w:val="1"/>
    <w:link w:val="51"/>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4">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5">
    <w:name w:val="12、表格内左对齐正文"/>
    <w:basedOn w:val="1"/>
    <w:link w:val="62"/>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6">
    <w:name w:val="20、第二章“一、”二级标题"/>
    <w:basedOn w:val="26"/>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7">
    <w:name w:val="21、第三章“(一)”三级标题"/>
    <w:basedOn w:val="26"/>
    <w:link w:val="53"/>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8">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9">
    <w:name w:val="03、“注：”正文(加粗，首行缩进2字符)"/>
    <w:basedOn w:val="26"/>
    <w:link w:val="57"/>
    <w:qFormat/>
    <w:uiPriority w:val="0"/>
    <w:pPr>
      <w:ind w:firstLine="480" w:firstLineChars="200"/>
    </w:pPr>
    <w:rPr>
      <w:b/>
    </w:rPr>
  </w:style>
  <w:style w:type="paragraph" w:customStyle="1" w:styleId="50">
    <w:name w:val="04“一、”正文二级标题"/>
    <w:basedOn w:val="26"/>
    <w:link w:val="59"/>
    <w:qFormat/>
    <w:uiPriority w:val="0"/>
    <w:pPr>
      <w:ind w:firstLine="803" w:firstLineChars="200"/>
    </w:pPr>
  </w:style>
  <w:style w:type="character" w:customStyle="1" w:styleId="51">
    <w:name w:val="10、“1.1”表格内二级标题 Char"/>
    <w:link w:val="43"/>
    <w:qFormat/>
    <w:uiPriority w:val="0"/>
    <w:rPr>
      <w:rFonts w:ascii="宋体" w:hAnsi="宋体" w:eastAsia="宋体"/>
      <w:snapToGrid w:val="0"/>
      <w:sz w:val="21"/>
    </w:rPr>
  </w:style>
  <w:style w:type="character" w:customStyle="1" w:styleId="52">
    <w:name w:val="07、“1.1”正文五级标题 Char"/>
    <w:link w:val="40"/>
    <w:qFormat/>
    <w:uiPriority w:val="0"/>
    <w:rPr>
      <w:rFonts w:ascii="宋体" w:hAnsi="宋体" w:eastAsia="宋体"/>
    </w:rPr>
  </w:style>
  <w:style w:type="character" w:customStyle="1" w:styleId="53">
    <w:name w:val="18、第三章“(一)”三级标题 Char"/>
    <w:link w:val="47"/>
    <w:qFormat/>
    <w:uiPriority w:val="0"/>
    <w:rPr>
      <w:rFonts w:ascii="宋体" w:hAnsi="宋体" w:eastAsia="宋体"/>
      <w:b/>
      <w:sz w:val="28"/>
    </w:rPr>
  </w:style>
  <w:style w:type="character" w:customStyle="1" w:styleId="54">
    <w:name w:val="16、“(一)”三级标题 Char"/>
    <w:link w:val="27"/>
    <w:qFormat/>
    <w:uiPriority w:val="0"/>
    <w:rPr>
      <w:rFonts w:ascii="宋体" w:hAnsi="宋体" w:eastAsia="宋体"/>
      <w:b/>
    </w:rPr>
  </w:style>
  <w:style w:type="character" w:customStyle="1" w:styleId="55">
    <w:name w:val="02、首行缩进2字符正文 Char"/>
    <w:link w:val="29"/>
    <w:qFormat/>
    <w:uiPriority w:val="0"/>
    <w:rPr>
      <w:rFonts w:ascii="宋体" w:hAnsi="宋体" w:eastAsia="宋体"/>
    </w:rPr>
  </w:style>
  <w:style w:type="character" w:customStyle="1" w:styleId="56">
    <w:name w:val="01、普通正文 Char"/>
    <w:link w:val="26"/>
    <w:qFormat/>
    <w:uiPriority w:val="0"/>
    <w:rPr>
      <w:rFonts w:ascii="宋体" w:hAnsi="宋体" w:eastAsia="宋体"/>
      <w:snapToGrid w:val="0"/>
    </w:rPr>
  </w:style>
  <w:style w:type="character" w:customStyle="1" w:styleId="57">
    <w:name w:val="03、“注：”正文(加粗，首行缩进2字符) Char"/>
    <w:link w:val="49"/>
    <w:qFormat/>
    <w:uiPriority w:val="0"/>
    <w:rPr>
      <w:b/>
    </w:rPr>
  </w:style>
  <w:style w:type="character" w:customStyle="1" w:styleId="58">
    <w:name w:val="05、“(一)”正文三级标题 Char"/>
    <w:link w:val="37"/>
    <w:qFormat/>
    <w:uiPriority w:val="0"/>
    <w:rPr>
      <w:rFonts w:ascii="宋体" w:hAnsi="宋体" w:eastAsia="宋体"/>
    </w:rPr>
  </w:style>
  <w:style w:type="character" w:customStyle="1" w:styleId="59">
    <w:name w:val="04“一、”正文二级标题 Char"/>
    <w:link w:val="50"/>
    <w:qFormat/>
    <w:uiPriority w:val="0"/>
  </w:style>
  <w:style w:type="character" w:customStyle="1" w:styleId="60">
    <w:name w:val="06、“1.”正文四级标题 Char"/>
    <w:link w:val="39"/>
    <w:qFormat/>
    <w:uiPriority w:val="0"/>
    <w:rPr>
      <w:rFonts w:ascii="宋体" w:hAnsi="宋体" w:eastAsia="宋体"/>
      <w:snapToGrid w:val="0"/>
    </w:rPr>
  </w:style>
  <w:style w:type="character" w:customStyle="1" w:styleId="61">
    <w:name w:val="08、“(1)”正文六级标题 Char"/>
    <w:link w:val="41"/>
    <w:qFormat/>
    <w:uiPriority w:val="0"/>
    <w:rPr>
      <w:rFonts w:ascii="宋体" w:hAnsi="宋体" w:eastAsia="宋体"/>
      <w:snapToGrid w:val="0"/>
    </w:rPr>
  </w:style>
  <w:style w:type="character" w:customStyle="1" w:styleId="62">
    <w:name w:val="12、表格内左对齐正文 Char"/>
    <w:link w:val="45"/>
    <w:qFormat/>
    <w:uiPriority w:val="0"/>
    <w:rPr>
      <w:rFonts w:ascii="宋体" w:hAnsi="宋体" w:eastAsia="宋体"/>
      <w:snapToGrid w:val="0"/>
      <w:sz w:val="21"/>
    </w:rPr>
  </w:style>
  <w:style w:type="paragraph" w:customStyle="1" w:styleId="63">
    <w:name w:val="样式 首行缩进:  2 字符"/>
    <w:basedOn w:val="1"/>
    <w:qFormat/>
    <w:uiPriority w:val="0"/>
    <w:pPr>
      <w:spacing w:line="400" w:lineRule="exact"/>
      <w:ind w:firstLine="200" w:firstLineChars="200"/>
    </w:pPr>
    <w:rPr>
      <w:rFonts w:cs="宋体"/>
      <w:sz w:val="24"/>
    </w:rPr>
  </w:style>
  <w:style w:type="character" w:customStyle="1" w:styleId="64">
    <w:name w:val="redfilefwwh"/>
    <w:basedOn w:val="21"/>
    <w:qFormat/>
    <w:uiPriority w:val="0"/>
    <w:rPr>
      <w:color w:val="BA2636"/>
      <w:sz w:val="12"/>
      <w:szCs w:val="12"/>
    </w:rPr>
  </w:style>
  <w:style w:type="character" w:customStyle="1" w:styleId="65">
    <w:name w:val="qxdate"/>
    <w:basedOn w:val="21"/>
    <w:qFormat/>
    <w:uiPriority w:val="0"/>
    <w:rPr>
      <w:color w:val="333333"/>
      <w:sz w:val="12"/>
      <w:szCs w:val="12"/>
    </w:rPr>
  </w:style>
  <w:style w:type="character" w:customStyle="1" w:styleId="66">
    <w:name w:val="cfdate"/>
    <w:basedOn w:val="21"/>
    <w:qFormat/>
    <w:uiPriority w:val="0"/>
    <w:rPr>
      <w:color w:val="333333"/>
      <w:sz w:val="12"/>
      <w:szCs w:val="12"/>
    </w:rPr>
  </w:style>
  <w:style w:type="character" w:customStyle="1" w:styleId="67">
    <w:name w:val="gjfg"/>
    <w:basedOn w:val="21"/>
    <w:qFormat/>
    <w:uiPriority w:val="0"/>
  </w:style>
  <w:style w:type="character" w:customStyle="1" w:styleId="68">
    <w:name w:val="displayarti"/>
    <w:basedOn w:val="21"/>
    <w:qFormat/>
    <w:uiPriority w:val="0"/>
    <w:rPr>
      <w:color w:val="FFFFFF"/>
      <w:shd w:val="clear" w:fill="A00000"/>
    </w:rPr>
  </w:style>
  <w:style w:type="character" w:customStyle="1" w:styleId="69">
    <w:name w:val="redfilenumber"/>
    <w:basedOn w:val="21"/>
    <w:qFormat/>
    <w:uiPriority w:val="0"/>
    <w:rPr>
      <w:color w:val="BA2636"/>
      <w:sz w:val="12"/>
      <w:szCs w:val="12"/>
    </w:rPr>
  </w:style>
  <w:style w:type="paragraph" w:customStyle="1" w:styleId="70">
    <w:name w:val="20、第五章“(一)”三级标题"/>
    <w:basedOn w:val="2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1">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2">
    <w:name w:val="21、合同二级标题序号"/>
    <w:basedOn w:val="26"/>
    <w:qFormat/>
    <w:uiPriority w:val="0"/>
    <w:pPr>
      <w:numPr>
        <w:ilvl w:val="0"/>
        <w:numId w:val="7"/>
      </w:numPr>
      <w:ind w:firstLine="803" w:firstLineChars="200"/>
      <w:outlineLvl w:val="1"/>
    </w:pPr>
    <w:rPr>
      <w:rFonts w:ascii="宋体" w:hAnsi="宋体" w:eastAsia="宋体"/>
      <w:b/>
    </w:rPr>
  </w:style>
  <w:style w:type="paragraph" w:customStyle="1" w:styleId="73">
    <w:name w:val="Default"/>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74">
    <w:name w:val="font71"/>
    <w:qFormat/>
    <w:uiPriority w:val="0"/>
    <w:rPr>
      <w:rFonts w:hint="default" w:ascii="微软雅黑" w:hAnsi="微软雅黑" w:eastAsia="微软雅黑" w:cs="微软雅黑"/>
      <w:color w:val="000000"/>
      <w:sz w:val="22"/>
      <w:szCs w:val="22"/>
      <w:u w:val="none"/>
    </w:rPr>
  </w:style>
  <w:style w:type="character" w:customStyle="1" w:styleId="75">
    <w:name w:val="font81"/>
    <w:qFormat/>
    <w:uiPriority w:val="0"/>
    <w:rPr>
      <w:rFonts w:hint="default" w:ascii="微软雅黑" w:hAnsi="微软雅黑" w:eastAsia="微软雅黑" w:cs="微软雅黑"/>
      <w:color w:val="000000"/>
      <w:sz w:val="22"/>
      <w:szCs w:val="22"/>
      <w:u w:val="none"/>
    </w:rPr>
  </w:style>
  <w:style w:type="paragraph" w:customStyle="1" w:styleId="76">
    <w:name w:val="_Style 3"/>
    <w:basedOn w:val="1"/>
    <w:qFormat/>
    <w:uiPriority w:val="0"/>
    <w:rPr>
      <w:rFonts w:eastAsia="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GIF"/><Relationship Id="rId23" Type="http://schemas.openxmlformats.org/officeDocument/2006/relationships/image" Target="media/image2.GIF"/><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133</Pages>
  <Words>69465</Words>
  <Characters>72271</Characters>
  <Lines>310</Lines>
  <Paragraphs>87</Paragraphs>
  <TotalTime>12</TotalTime>
  <ScaleCrop>false</ScaleCrop>
  <LinksUpToDate>false</LinksUpToDate>
  <CharactersWithSpaces>77034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晓风残月</cp:lastModifiedBy>
  <cp:lastPrinted>2022-05-30T02:44:00Z</cp:lastPrinted>
  <dcterms:modified xsi:type="dcterms:W3CDTF">2022-07-26T06:50:11Z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CD4BD9ADE1B149C8AF59E208CE07A7B6</vt:lpwstr>
  </property>
  <property fmtid="{D5CDD505-2E9C-101B-9397-08002B2CF9AE}" pid="4" name="KSOSaveFontToCloudKey">
    <vt:lpwstr>307340517_btnclosed</vt:lpwstr>
  </property>
</Properties>
</file>